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1278D21F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September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1</w:t>
      </w:r>
      <w:r w:rsidR="00216DF2">
        <w:rPr>
          <w:rFonts w:ascii="Book Antiqua" w:hAnsi="Book Antiqua"/>
          <w:b/>
          <w:bCs/>
          <w:szCs w:val="22"/>
        </w:rPr>
        <w:t>, 202</w:t>
      </w:r>
      <w:r w:rsidR="005F3A5F">
        <w:rPr>
          <w:rFonts w:ascii="Book Antiqua" w:hAnsi="Book Antiqua"/>
          <w:b/>
          <w:bCs/>
          <w:szCs w:val="22"/>
        </w:rPr>
        <w:t>3</w:t>
      </w:r>
    </w:p>
    <w:p w14:paraId="716EAC1C" w14:textId="097A467E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2C3A0E">
        <w:rPr>
          <w:rFonts w:ascii="Book Antiqua" w:hAnsi="Book Antiqua"/>
          <w:b/>
          <w:bCs/>
          <w:szCs w:val="22"/>
        </w:rPr>
        <w:t>30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4953BC">
        <w:rPr>
          <w:rFonts w:ascii="Book Antiqua" w:hAnsi="Book Antiqua"/>
          <w:b/>
          <w:bCs/>
          <w:szCs w:val="22"/>
        </w:rPr>
        <w:t>3:30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70E5FDF0" w:rsidR="002B769D" w:rsidRPr="002C3A0E" w:rsidRDefault="002C3A0E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2C3A0E">
        <w:rPr>
          <w:rFonts w:ascii="Book Antiqua" w:hAnsi="Book Antiqua"/>
          <w:b/>
          <w:bCs/>
          <w:color w:val="000000" w:themeColor="text1"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4C8775A2" w14:textId="4ABCD980" w:rsidR="004953BC" w:rsidRDefault="00AB4912" w:rsidP="004953B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2C3A0E">
        <w:rPr>
          <w:rFonts w:ascii="Book Antiqua" w:hAnsi="Book Antiqua"/>
          <w:szCs w:val="22"/>
        </w:rPr>
        <w:t xml:space="preserve">May </w:t>
      </w:r>
      <w:r w:rsidR="004210A7">
        <w:rPr>
          <w:rFonts w:ascii="Book Antiqua" w:hAnsi="Book Antiqua"/>
          <w:szCs w:val="22"/>
        </w:rPr>
        <w:t>4</w:t>
      </w:r>
      <w:r w:rsidR="003142B5" w:rsidRPr="004953BC">
        <w:rPr>
          <w:rFonts w:ascii="Book Antiqua" w:hAnsi="Book Antiqua"/>
          <w:szCs w:val="22"/>
        </w:rPr>
        <w:t>, 202</w:t>
      </w:r>
      <w:r w:rsidR="002C3A0E">
        <w:rPr>
          <w:rFonts w:ascii="Book Antiqua" w:hAnsi="Book Antiqua"/>
          <w:szCs w:val="22"/>
        </w:rPr>
        <w:t>3</w:t>
      </w:r>
    </w:p>
    <w:p w14:paraId="634BDDDA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4239E63D" w14:textId="51A072C5" w:rsidR="002C3A0E" w:rsidRDefault="002C3A0E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and Approve Charter for Governance Council</w:t>
      </w:r>
    </w:p>
    <w:p w14:paraId="1E20286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5CA76D7C" w14:textId="5F147E1C" w:rsidR="002C3A0E" w:rsidRDefault="002C3A0E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Committee Annual Review </w:t>
      </w:r>
    </w:p>
    <w:p w14:paraId="4D31EF29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44821379" w14:textId="4A8089FE" w:rsidR="002C3A0E" w:rsidRDefault="002C3A0E" w:rsidP="002C3A0E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last year’s goals</w:t>
      </w:r>
    </w:p>
    <w:p w14:paraId="4937EAA8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75B2EF97" w14:textId="09C4B7E2" w:rsidR="002C3A0E" w:rsidRDefault="002C3A0E" w:rsidP="002C3A0E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Establish goals for 2023-2024 (based on committee Charter, aligned with ACCJC Standards and Strategic Action Plan</w:t>
      </w:r>
      <w:r>
        <w:rPr>
          <w:rFonts w:ascii="Book Antiqua" w:hAnsi="Book Antiqua"/>
          <w:szCs w:val="22"/>
        </w:rPr>
        <w:tab/>
      </w:r>
    </w:p>
    <w:p w14:paraId="6075D89C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556A0CB1" w14:textId="5EDAC4A2" w:rsidR="002C3A0E" w:rsidRDefault="002C3A0E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Status Update – Educational Master Plan</w:t>
      </w:r>
    </w:p>
    <w:p w14:paraId="3787A62D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6ECC7F68" w14:textId="1D4295BA" w:rsidR="002C3A0E" w:rsidRDefault="002C3A0E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Status Update – Program Review</w:t>
      </w: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3DEB3BD8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 October 6, 2023, at 2:10 p.m. in the Cougar Room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5</cp:revision>
  <cp:lastPrinted>2019-03-28T21:02:00Z</cp:lastPrinted>
  <dcterms:created xsi:type="dcterms:W3CDTF">2023-08-28T16:33:00Z</dcterms:created>
  <dcterms:modified xsi:type="dcterms:W3CDTF">2023-08-28T16:54:00Z</dcterms:modified>
</cp:coreProperties>
</file>