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CF16" w14:textId="77777777" w:rsidR="00005BE0" w:rsidRPr="00FE6777" w:rsidRDefault="008E6634" w:rsidP="007535BA">
      <w:pPr>
        <w:pStyle w:val="Heading1"/>
        <w:rPr>
          <w:rFonts w:ascii="Arial" w:hAnsi="Arial"/>
          <w:color w:val="auto"/>
          <w:sz w:val="24"/>
        </w:rPr>
      </w:pPr>
      <w:r w:rsidRPr="00FE6777">
        <w:rPr>
          <w:rFonts w:ascii="Arial" w:hAnsi="Arial"/>
          <w:color w:val="auto"/>
          <w:sz w:val="28"/>
        </w:rPr>
        <w:t>Dual Enrollment Committee Charter</w:t>
      </w:r>
      <w:r w:rsidR="00F720A6" w:rsidRPr="00FE6777">
        <w:rPr>
          <w:sz w:val="24"/>
        </w:rPr>
        <w:br/>
      </w:r>
      <w:r w:rsidR="00F720A6" w:rsidRPr="00FE6777">
        <w:rPr>
          <w:sz w:val="24"/>
        </w:rPr>
        <w:br/>
      </w:r>
      <w:r w:rsidR="007535BA" w:rsidRPr="00FE6777">
        <w:rPr>
          <w:rFonts w:ascii="Arial" w:hAnsi="Arial"/>
          <w:color w:val="auto"/>
          <w:sz w:val="24"/>
        </w:rPr>
        <w:t>Name of Committee</w:t>
      </w:r>
      <w:r w:rsidR="004F447E" w:rsidRPr="00FE6777">
        <w:rPr>
          <w:rFonts w:ascii="Arial" w:hAnsi="Arial"/>
          <w:color w:val="auto"/>
          <w:sz w:val="24"/>
        </w:rPr>
        <w:t>:</w:t>
      </w:r>
      <w:r w:rsidR="00AB3012" w:rsidRPr="00FE6777">
        <w:rPr>
          <w:rFonts w:ascii="Arial" w:hAnsi="Arial"/>
          <w:color w:val="auto"/>
          <w:sz w:val="24"/>
        </w:rPr>
        <w:t xml:space="preserve"> </w:t>
      </w:r>
    </w:p>
    <w:p w14:paraId="5E8D6C76" w14:textId="77777777" w:rsidR="004F6D9B" w:rsidRPr="00FE6777" w:rsidRDefault="004F6D9B" w:rsidP="004F6D9B">
      <w:pPr>
        <w:rPr>
          <w:b/>
          <w:sz w:val="24"/>
        </w:rPr>
      </w:pPr>
    </w:p>
    <w:p w14:paraId="7286D33D" w14:textId="77777777" w:rsidR="00005BE0" w:rsidRPr="00FE6777" w:rsidRDefault="007535BA" w:rsidP="004F6D9B">
      <w:pPr>
        <w:rPr>
          <w:sz w:val="24"/>
        </w:rPr>
      </w:pPr>
      <w:r w:rsidRPr="00FE6777">
        <w:rPr>
          <w:sz w:val="24"/>
        </w:rPr>
        <w:t>Dual Enrollment</w:t>
      </w:r>
      <w:r w:rsidR="00C41296" w:rsidRPr="00FE6777">
        <w:rPr>
          <w:sz w:val="24"/>
        </w:rPr>
        <w:t xml:space="preserve"> </w:t>
      </w:r>
      <w:r w:rsidR="00F720A6" w:rsidRPr="00FE6777">
        <w:rPr>
          <w:sz w:val="24"/>
        </w:rPr>
        <w:t>Committee</w:t>
      </w:r>
    </w:p>
    <w:p w14:paraId="3962CC56" w14:textId="77777777" w:rsidR="00005BE0" w:rsidRPr="00FE6777" w:rsidRDefault="00005BE0" w:rsidP="004F6D9B">
      <w:pPr>
        <w:rPr>
          <w:sz w:val="24"/>
        </w:rPr>
      </w:pPr>
    </w:p>
    <w:p w14:paraId="1E45DEC7" w14:textId="77777777" w:rsidR="00005BE0" w:rsidRPr="00FE6777" w:rsidRDefault="00005BE0" w:rsidP="004F6D9B">
      <w:pPr>
        <w:rPr>
          <w:b/>
          <w:sz w:val="24"/>
          <w:szCs w:val="24"/>
        </w:rPr>
      </w:pPr>
      <w:r w:rsidRPr="00FE6777">
        <w:rPr>
          <w:b/>
          <w:sz w:val="24"/>
        </w:rPr>
        <w:t>P</w:t>
      </w:r>
      <w:r w:rsidR="005B0FF4" w:rsidRPr="00FE6777">
        <w:rPr>
          <w:b/>
          <w:sz w:val="24"/>
        </w:rPr>
        <w:t>URPOSE</w:t>
      </w:r>
      <w:r w:rsidRPr="00FE6777">
        <w:rPr>
          <w:b/>
          <w:sz w:val="24"/>
          <w:szCs w:val="24"/>
        </w:rPr>
        <w:t>:</w:t>
      </w:r>
    </w:p>
    <w:p w14:paraId="79804278" w14:textId="77777777" w:rsidR="00005BE0" w:rsidRPr="00FE6777" w:rsidRDefault="00005BE0" w:rsidP="004F6D9B">
      <w:pPr>
        <w:rPr>
          <w:sz w:val="24"/>
        </w:rPr>
      </w:pPr>
    </w:p>
    <w:p w14:paraId="4882EF0D" w14:textId="5FACEF83" w:rsidR="00005BE0" w:rsidRPr="00FE6777" w:rsidRDefault="00005BE0" w:rsidP="004F6D9B">
      <w:pPr>
        <w:rPr>
          <w:sz w:val="24"/>
        </w:rPr>
      </w:pPr>
      <w:r w:rsidRPr="00FE6777">
        <w:rPr>
          <w:sz w:val="24"/>
        </w:rPr>
        <w:t xml:space="preserve">The purpose of the </w:t>
      </w:r>
      <w:r w:rsidR="007535BA" w:rsidRPr="00FE6777">
        <w:rPr>
          <w:sz w:val="24"/>
        </w:rPr>
        <w:t>Dual Enrollment</w:t>
      </w:r>
      <w:r w:rsidRPr="00FE6777">
        <w:rPr>
          <w:sz w:val="24"/>
        </w:rPr>
        <w:t xml:space="preserve"> Committee is to</w:t>
      </w:r>
      <w:r w:rsidR="00753D5C" w:rsidRPr="00FE6777">
        <w:rPr>
          <w:sz w:val="24"/>
        </w:rPr>
        <w:t xml:space="preserve"> determine</w:t>
      </w:r>
      <w:r w:rsidR="00C843A3" w:rsidRPr="00FE6777">
        <w:rPr>
          <w:sz w:val="24"/>
        </w:rPr>
        <w:t xml:space="preserve"> courses</w:t>
      </w:r>
      <w:r w:rsidR="00753D5C" w:rsidRPr="00FE6777">
        <w:rPr>
          <w:sz w:val="24"/>
        </w:rPr>
        <w:t xml:space="preserve"> feasibility,</w:t>
      </w:r>
      <w:r w:rsidRPr="00FE6777">
        <w:rPr>
          <w:sz w:val="24"/>
        </w:rPr>
        <w:t xml:space="preserve"> develop policies</w:t>
      </w:r>
      <w:r w:rsidR="007535BA" w:rsidRPr="00FE6777">
        <w:rPr>
          <w:sz w:val="24"/>
        </w:rPr>
        <w:t xml:space="preserve"> and procedures</w:t>
      </w:r>
      <w:r w:rsidRPr="00FE6777">
        <w:rPr>
          <w:sz w:val="24"/>
        </w:rPr>
        <w:t xml:space="preserve"> and promote practices that contribute to the quality of </w:t>
      </w:r>
      <w:r w:rsidR="000118CC" w:rsidRPr="00FE6777">
        <w:rPr>
          <w:sz w:val="24"/>
        </w:rPr>
        <w:t xml:space="preserve">the </w:t>
      </w:r>
      <w:r w:rsidR="007535BA" w:rsidRPr="00FE6777">
        <w:rPr>
          <w:sz w:val="24"/>
        </w:rPr>
        <w:t>dual enrollment, concurrent enrollment, CCAP programs</w:t>
      </w:r>
      <w:r w:rsidR="009A381A">
        <w:rPr>
          <w:sz w:val="24"/>
        </w:rPr>
        <w:t xml:space="preserve">, </w:t>
      </w:r>
      <w:r w:rsidR="009A381A" w:rsidRPr="008F09E5">
        <w:rPr>
          <w:sz w:val="24"/>
        </w:rPr>
        <w:t>and all special admit students</w:t>
      </w:r>
      <w:r w:rsidR="000118CC" w:rsidRPr="00FE6777">
        <w:rPr>
          <w:sz w:val="24"/>
        </w:rPr>
        <w:t xml:space="preserve"> at Taft College.</w:t>
      </w:r>
    </w:p>
    <w:p w14:paraId="6219B07E" w14:textId="77777777" w:rsidR="00BA137F" w:rsidRPr="00FE6777" w:rsidRDefault="00BA137F" w:rsidP="004F6D9B">
      <w:pPr>
        <w:rPr>
          <w:sz w:val="24"/>
        </w:rPr>
      </w:pPr>
    </w:p>
    <w:p w14:paraId="0E94CBC3" w14:textId="77777777" w:rsidR="00AB3012" w:rsidRPr="00FE6777" w:rsidRDefault="00AB3012" w:rsidP="00AB3012">
      <w:pPr>
        <w:pStyle w:val="Default"/>
        <w:rPr>
          <w:b/>
          <w:bCs/>
          <w:szCs w:val="23"/>
        </w:rPr>
      </w:pPr>
      <w:r w:rsidRPr="00FE6777">
        <w:rPr>
          <w:b/>
          <w:bCs/>
          <w:szCs w:val="23"/>
        </w:rPr>
        <w:t xml:space="preserve">SPECIFIC RESPONSIBILITIES: </w:t>
      </w:r>
    </w:p>
    <w:p w14:paraId="7D59A039" w14:textId="77777777" w:rsidR="00005BE0" w:rsidRPr="00FE6777" w:rsidRDefault="00005BE0" w:rsidP="00AB3012">
      <w:pPr>
        <w:pStyle w:val="Default"/>
        <w:rPr>
          <w:b/>
          <w:bCs/>
          <w:szCs w:val="23"/>
        </w:rPr>
      </w:pPr>
    </w:p>
    <w:p w14:paraId="7264A73C" w14:textId="77777777" w:rsidR="00005BE0" w:rsidRPr="00FE6777" w:rsidRDefault="000118CC" w:rsidP="00005BE0">
      <w:pPr>
        <w:pStyle w:val="Default"/>
        <w:numPr>
          <w:ilvl w:val="0"/>
          <w:numId w:val="13"/>
        </w:numPr>
        <w:spacing w:line="276" w:lineRule="auto"/>
        <w:rPr>
          <w:szCs w:val="23"/>
        </w:rPr>
      </w:pPr>
      <w:r w:rsidRPr="00FE6777">
        <w:rPr>
          <w:szCs w:val="23"/>
        </w:rPr>
        <w:t xml:space="preserve">Formation of </w:t>
      </w:r>
      <w:r w:rsidR="00005BE0" w:rsidRPr="00FE6777">
        <w:rPr>
          <w:szCs w:val="23"/>
        </w:rPr>
        <w:t>policies/procedures</w:t>
      </w:r>
    </w:p>
    <w:p w14:paraId="1A70A4CE" w14:textId="77777777" w:rsidR="00005BE0" w:rsidRPr="00FE6777" w:rsidRDefault="000118CC" w:rsidP="00005BE0">
      <w:pPr>
        <w:pStyle w:val="Default"/>
        <w:numPr>
          <w:ilvl w:val="0"/>
          <w:numId w:val="13"/>
        </w:numPr>
        <w:spacing w:line="276" w:lineRule="auto"/>
        <w:rPr>
          <w:szCs w:val="23"/>
        </w:rPr>
      </w:pPr>
      <w:r w:rsidRPr="00FE6777">
        <w:rPr>
          <w:szCs w:val="23"/>
        </w:rPr>
        <w:t>Program evaluation</w:t>
      </w:r>
    </w:p>
    <w:p w14:paraId="6E6F3DFD" w14:textId="0AF4B0B7" w:rsidR="00005BE0" w:rsidRPr="00FE6777" w:rsidRDefault="000118CC" w:rsidP="00005BE0">
      <w:pPr>
        <w:pStyle w:val="Default"/>
        <w:numPr>
          <w:ilvl w:val="0"/>
          <w:numId w:val="13"/>
        </w:numPr>
        <w:spacing w:line="276" w:lineRule="auto"/>
        <w:rPr>
          <w:szCs w:val="23"/>
        </w:rPr>
      </w:pPr>
      <w:r w:rsidRPr="00FE6777">
        <w:rPr>
          <w:szCs w:val="23"/>
        </w:rPr>
        <w:t xml:space="preserve">Follow </w:t>
      </w:r>
      <w:r w:rsidR="00C843A3" w:rsidRPr="00FE6777">
        <w:rPr>
          <w:szCs w:val="23"/>
        </w:rPr>
        <w:t>s</w:t>
      </w:r>
      <w:r w:rsidRPr="00FE6777">
        <w:rPr>
          <w:szCs w:val="23"/>
        </w:rPr>
        <w:t xml:space="preserve">tate/local </w:t>
      </w:r>
      <w:r w:rsidR="00005BE0" w:rsidRPr="00FE6777">
        <w:rPr>
          <w:szCs w:val="23"/>
        </w:rPr>
        <w:t>regulations</w:t>
      </w:r>
      <w:r w:rsidRPr="00FE6777">
        <w:rPr>
          <w:szCs w:val="23"/>
        </w:rPr>
        <w:t xml:space="preserve"> and guidelines for the programs</w:t>
      </w:r>
    </w:p>
    <w:p w14:paraId="3CA9F3DE" w14:textId="26AC7F7F" w:rsidR="00753D5C" w:rsidRPr="00FE6777" w:rsidRDefault="00005BE0" w:rsidP="00005BE0">
      <w:pPr>
        <w:pStyle w:val="Default"/>
        <w:numPr>
          <w:ilvl w:val="0"/>
          <w:numId w:val="13"/>
        </w:numPr>
        <w:spacing w:line="276" w:lineRule="auto"/>
        <w:rPr>
          <w:szCs w:val="23"/>
        </w:rPr>
      </w:pPr>
      <w:r w:rsidRPr="00FE6777">
        <w:rPr>
          <w:szCs w:val="23"/>
        </w:rPr>
        <w:t xml:space="preserve">Determine </w:t>
      </w:r>
      <w:r w:rsidR="00C843A3" w:rsidRPr="00FE6777">
        <w:rPr>
          <w:szCs w:val="23"/>
        </w:rPr>
        <w:t>best p</w:t>
      </w:r>
      <w:r w:rsidRPr="00FE6777">
        <w:rPr>
          <w:szCs w:val="23"/>
        </w:rPr>
        <w:t>ractices</w:t>
      </w:r>
    </w:p>
    <w:p w14:paraId="5EFD6749" w14:textId="77777777" w:rsidR="00753D5C" w:rsidRPr="00FE6777" w:rsidRDefault="00753D5C" w:rsidP="00005BE0">
      <w:pPr>
        <w:pStyle w:val="Default"/>
        <w:numPr>
          <w:ilvl w:val="0"/>
          <w:numId w:val="13"/>
        </w:numPr>
        <w:spacing w:line="276" w:lineRule="auto"/>
        <w:rPr>
          <w:szCs w:val="23"/>
        </w:rPr>
      </w:pPr>
      <w:r w:rsidRPr="00FE6777">
        <w:rPr>
          <w:szCs w:val="23"/>
        </w:rPr>
        <w:t>Evaluate courses/programs that apply for dual, concurrent, or CCAP enrollment</w:t>
      </w:r>
    </w:p>
    <w:p w14:paraId="3A703AFB" w14:textId="77777777" w:rsidR="00005BE0" w:rsidRPr="00FE6777" w:rsidRDefault="00753D5C" w:rsidP="00005BE0">
      <w:pPr>
        <w:pStyle w:val="Default"/>
        <w:numPr>
          <w:ilvl w:val="0"/>
          <w:numId w:val="13"/>
        </w:numPr>
        <w:spacing w:line="276" w:lineRule="auto"/>
        <w:rPr>
          <w:szCs w:val="23"/>
        </w:rPr>
      </w:pPr>
      <w:r w:rsidRPr="00FE6777">
        <w:rPr>
          <w:szCs w:val="23"/>
        </w:rPr>
        <w:t>Report to the Academic Senate</w:t>
      </w:r>
    </w:p>
    <w:p w14:paraId="7E937264" w14:textId="77777777" w:rsidR="00AB3012" w:rsidRPr="00FE6777" w:rsidRDefault="00AB3012" w:rsidP="00AB3012">
      <w:pPr>
        <w:pStyle w:val="Default"/>
        <w:rPr>
          <w:szCs w:val="23"/>
        </w:rPr>
      </w:pPr>
    </w:p>
    <w:p w14:paraId="799863E8" w14:textId="77777777" w:rsidR="00AB3012" w:rsidRPr="00FE6777" w:rsidRDefault="00AB3012" w:rsidP="00AB3012">
      <w:pPr>
        <w:pStyle w:val="Default"/>
        <w:rPr>
          <w:b/>
          <w:bCs/>
          <w:szCs w:val="23"/>
        </w:rPr>
      </w:pPr>
      <w:r w:rsidRPr="00FE6777">
        <w:rPr>
          <w:b/>
          <w:bCs/>
          <w:szCs w:val="23"/>
        </w:rPr>
        <w:t xml:space="preserve">MEMBERSHIP REPRESENTATION: </w:t>
      </w:r>
    </w:p>
    <w:p w14:paraId="663DA59A" w14:textId="77777777" w:rsidR="00B07E9C" w:rsidRPr="00FE6777" w:rsidRDefault="00B07E9C" w:rsidP="00AB3012">
      <w:pPr>
        <w:pStyle w:val="Default"/>
        <w:rPr>
          <w:b/>
          <w:bCs/>
          <w:szCs w:val="23"/>
        </w:rPr>
      </w:pPr>
    </w:p>
    <w:p w14:paraId="6606FB8E" w14:textId="77777777" w:rsidR="00005BE0" w:rsidRPr="00FE6777" w:rsidRDefault="009F003D" w:rsidP="00872674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 xml:space="preserve">Taft College Full Time Faculty Member </w:t>
      </w:r>
      <w:r w:rsidR="00AB3012" w:rsidRPr="00FE6777">
        <w:rPr>
          <w:szCs w:val="23"/>
        </w:rPr>
        <w:t>–</w:t>
      </w:r>
      <w:r w:rsidR="00CD4857" w:rsidRPr="00FE6777">
        <w:rPr>
          <w:szCs w:val="23"/>
        </w:rPr>
        <w:t xml:space="preserve"> </w:t>
      </w:r>
      <w:r w:rsidR="00AB3012" w:rsidRPr="00FE6777">
        <w:rPr>
          <w:szCs w:val="23"/>
        </w:rPr>
        <w:t xml:space="preserve">Chair </w:t>
      </w:r>
    </w:p>
    <w:p w14:paraId="34ED6508" w14:textId="455AE7C1" w:rsidR="009F003D" w:rsidRPr="00FE6777" w:rsidRDefault="009F003D" w:rsidP="00872674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>Taft College Full Time Faculty Member</w:t>
      </w:r>
      <w:r w:rsidR="00B13862" w:rsidRPr="00FE6777">
        <w:rPr>
          <w:szCs w:val="23"/>
        </w:rPr>
        <w:t xml:space="preserve"> – CTE</w:t>
      </w:r>
      <w:r w:rsidR="00E25F4D">
        <w:rPr>
          <w:szCs w:val="23"/>
        </w:rPr>
        <w:t xml:space="preserve"> </w:t>
      </w:r>
      <w:r w:rsidR="00E25F4D" w:rsidRPr="00582927">
        <w:rPr>
          <w:i/>
          <w:iCs/>
          <w:szCs w:val="23"/>
        </w:rPr>
        <w:t>(desired)</w:t>
      </w:r>
      <w:r w:rsidR="00B13862" w:rsidRPr="00FE6777">
        <w:rPr>
          <w:szCs w:val="23"/>
        </w:rPr>
        <w:t xml:space="preserve"> </w:t>
      </w:r>
      <w:r w:rsidRPr="00FE6777">
        <w:rPr>
          <w:szCs w:val="23"/>
        </w:rPr>
        <w:t xml:space="preserve"> </w:t>
      </w:r>
    </w:p>
    <w:p w14:paraId="1249B3B5" w14:textId="508E8435" w:rsidR="009F003D" w:rsidRPr="00FE6777" w:rsidRDefault="009F003D" w:rsidP="00872674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 xml:space="preserve">Taft College Full Time Faculty </w:t>
      </w:r>
      <w:r w:rsidRPr="008F09E5">
        <w:rPr>
          <w:szCs w:val="23"/>
        </w:rPr>
        <w:t>Member</w:t>
      </w:r>
      <w:r w:rsidR="009A381A" w:rsidRPr="008F09E5">
        <w:rPr>
          <w:szCs w:val="23"/>
        </w:rPr>
        <w:t>s on Dual Enrollment Committee</w:t>
      </w:r>
    </w:p>
    <w:p w14:paraId="36761D7E" w14:textId="5726F34E" w:rsidR="009F003D" w:rsidRPr="00FE6777" w:rsidRDefault="009F003D" w:rsidP="00872674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>T</w:t>
      </w:r>
      <w:r w:rsidR="00B13862" w:rsidRPr="00FE6777">
        <w:rPr>
          <w:szCs w:val="23"/>
        </w:rPr>
        <w:t xml:space="preserve">aft College Full Time Faculty member – Counseling </w:t>
      </w:r>
      <w:r w:rsidR="00E25F4D" w:rsidRPr="00582927">
        <w:rPr>
          <w:i/>
          <w:iCs/>
          <w:szCs w:val="23"/>
        </w:rPr>
        <w:t>(desired)</w:t>
      </w:r>
    </w:p>
    <w:p w14:paraId="6C562D28" w14:textId="77777777" w:rsidR="00C96676" w:rsidRPr="00FE6777" w:rsidRDefault="009F003D" w:rsidP="00872674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 xml:space="preserve">Taft College </w:t>
      </w:r>
      <w:r w:rsidR="00B13862" w:rsidRPr="00FE6777">
        <w:rPr>
          <w:szCs w:val="23"/>
        </w:rPr>
        <w:t xml:space="preserve">Dual Enrollment Liaison </w:t>
      </w:r>
    </w:p>
    <w:p w14:paraId="410F5530" w14:textId="77777777" w:rsidR="009F003D" w:rsidRPr="00FE6777" w:rsidRDefault="00753D5C" w:rsidP="009F003D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>Office</w:t>
      </w:r>
      <w:r w:rsidR="009F003D" w:rsidRPr="00FE6777">
        <w:rPr>
          <w:szCs w:val="23"/>
        </w:rPr>
        <w:t xml:space="preserve"> of Instruction</w:t>
      </w:r>
      <w:r w:rsidRPr="00FE6777">
        <w:rPr>
          <w:szCs w:val="23"/>
        </w:rPr>
        <w:t xml:space="preserve"> designee</w:t>
      </w:r>
      <w:r w:rsidR="00B13862" w:rsidRPr="00FE6777">
        <w:rPr>
          <w:szCs w:val="23"/>
        </w:rPr>
        <w:t xml:space="preserve"> (non-voting) </w:t>
      </w:r>
    </w:p>
    <w:p w14:paraId="0443DD72" w14:textId="77777777" w:rsidR="009F003D" w:rsidRPr="00FE6777" w:rsidRDefault="009F003D" w:rsidP="009F003D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>Taft Union High School Full Time Faculty Member (non-voting)</w:t>
      </w:r>
    </w:p>
    <w:p w14:paraId="3A930B12" w14:textId="77777777" w:rsidR="00753D5C" w:rsidRPr="00FE6777" w:rsidRDefault="009F003D" w:rsidP="009F003D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>Taft Union High School Full Time Faculty Member (non-voting)</w:t>
      </w:r>
    </w:p>
    <w:p w14:paraId="361C9545" w14:textId="77777777" w:rsidR="00C74BA4" w:rsidRPr="00FE6777" w:rsidRDefault="00753D5C" w:rsidP="00753D5C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>Taft Union High School Full Time Counselor (non-voting)</w:t>
      </w:r>
    </w:p>
    <w:p w14:paraId="019748D8" w14:textId="77777777" w:rsidR="00753D5C" w:rsidRPr="00FE6777" w:rsidRDefault="00C74BA4" w:rsidP="00753D5C">
      <w:pPr>
        <w:pStyle w:val="Default"/>
        <w:numPr>
          <w:ilvl w:val="0"/>
          <w:numId w:val="14"/>
        </w:numPr>
        <w:spacing w:line="276" w:lineRule="auto"/>
        <w:rPr>
          <w:szCs w:val="23"/>
        </w:rPr>
      </w:pPr>
      <w:r w:rsidRPr="00FE6777">
        <w:rPr>
          <w:szCs w:val="23"/>
        </w:rPr>
        <w:t>Taft Union High School Administration designee (non-voting)</w:t>
      </w:r>
    </w:p>
    <w:p w14:paraId="23D2329B" w14:textId="77777777" w:rsidR="009F003D" w:rsidRPr="00FE6777" w:rsidRDefault="009F003D" w:rsidP="00CB0B7A">
      <w:pPr>
        <w:pStyle w:val="Default"/>
        <w:spacing w:line="276" w:lineRule="auto"/>
        <w:rPr>
          <w:szCs w:val="23"/>
        </w:rPr>
      </w:pPr>
    </w:p>
    <w:p w14:paraId="51EC1743" w14:textId="77777777" w:rsidR="00AB3012" w:rsidRPr="00FE6777" w:rsidRDefault="00AB3012" w:rsidP="009F003D">
      <w:pPr>
        <w:pStyle w:val="Default"/>
        <w:spacing w:line="276" w:lineRule="auto"/>
        <w:ind w:left="720"/>
        <w:rPr>
          <w:szCs w:val="23"/>
        </w:rPr>
      </w:pPr>
    </w:p>
    <w:p w14:paraId="69453819" w14:textId="77777777" w:rsidR="00AB3012" w:rsidRPr="00FE6777" w:rsidRDefault="00AB3012" w:rsidP="00AB3012">
      <w:pPr>
        <w:pStyle w:val="Default"/>
        <w:rPr>
          <w:b/>
          <w:bCs/>
          <w:szCs w:val="23"/>
        </w:rPr>
      </w:pPr>
      <w:r w:rsidRPr="00FE6777">
        <w:rPr>
          <w:b/>
          <w:bCs/>
          <w:szCs w:val="23"/>
        </w:rPr>
        <w:t xml:space="preserve">MEMBERSHIP AND MEETING POLICIES: </w:t>
      </w:r>
    </w:p>
    <w:p w14:paraId="1F85F5A5" w14:textId="77777777" w:rsidR="00872674" w:rsidRPr="00FE6777" w:rsidRDefault="00872674" w:rsidP="00AB3012">
      <w:pPr>
        <w:pStyle w:val="Default"/>
        <w:rPr>
          <w:b/>
          <w:bCs/>
          <w:szCs w:val="23"/>
        </w:rPr>
      </w:pPr>
    </w:p>
    <w:p w14:paraId="712D7742" w14:textId="77777777" w:rsidR="00872674" w:rsidRPr="00FE6777" w:rsidRDefault="00872674" w:rsidP="004F6D9B">
      <w:pPr>
        <w:rPr>
          <w:sz w:val="24"/>
        </w:rPr>
      </w:pPr>
      <w:r w:rsidRPr="00FE6777">
        <w:rPr>
          <w:b/>
          <w:bCs/>
          <w:sz w:val="24"/>
        </w:rPr>
        <w:t xml:space="preserve">Quorum </w:t>
      </w:r>
      <w:r w:rsidRPr="00FE6777">
        <w:rPr>
          <w:sz w:val="24"/>
        </w:rPr>
        <w:t xml:space="preserve">is based on 50% + 1 of voting membership. </w:t>
      </w:r>
    </w:p>
    <w:p w14:paraId="78450148" w14:textId="0672C83D" w:rsidR="00872674" w:rsidRDefault="00872674" w:rsidP="00872674">
      <w:pPr>
        <w:pStyle w:val="Default"/>
        <w:rPr>
          <w:szCs w:val="22"/>
        </w:rPr>
      </w:pPr>
      <w:r w:rsidRPr="00FE6777">
        <w:rPr>
          <w:szCs w:val="22"/>
        </w:rPr>
        <w:t xml:space="preserve">It is the responsibility of each member of the </w:t>
      </w:r>
      <w:r w:rsidR="00A6147D" w:rsidRPr="00FE6777">
        <w:rPr>
          <w:szCs w:val="22"/>
        </w:rPr>
        <w:t>c</w:t>
      </w:r>
      <w:r w:rsidRPr="00FE6777">
        <w:rPr>
          <w:szCs w:val="22"/>
        </w:rPr>
        <w:t>ommittee to</w:t>
      </w:r>
      <w:r w:rsidR="00BD0620" w:rsidRPr="00FE6777">
        <w:rPr>
          <w:szCs w:val="22"/>
        </w:rPr>
        <w:t xml:space="preserve"> attend each meeting and</w:t>
      </w:r>
      <w:r w:rsidRPr="00FE6777">
        <w:rPr>
          <w:szCs w:val="22"/>
        </w:rPr>
        <w:t xml:space="preserve"> adhere to the College Code of Conduct.</w:t>
      </w:r>
    </w:p>
    <w:p w14:paraId="7C787D9C" w14:textId="3577C561" w:rsidR="009A381A" w:rsidRDefault="009A381A" w:rsidP="00872674">
      <w:pPr>
        <w:pStyle w:val="Default"/>
        <w:rPr>
          <w:szCs w:val="22"/>
        </w:rPr>
      </w:pPr>
    </w:p>
    <w:p w14:paraId="4EDBEFE1" w14:textId="72E88241" w:rsidR="009A381A" w:rsidRPr="009A381A" w:rsidRDefault="009A381A" w:rsidP="00872674">
      <w:pPr>
        <w:pStyle w:val="Default"/>
        <w:rPr>
          <w:szCs w:val="22"/>
        </w:rPr>
      </w:pPr>
      <w:r w:rsidRPr="008F09E5">
        <w:rPr>
          <w:b/>
          <w:bCs/>
          <w:szCs w:val="22"/>
        </w:rPr>
        <w:t>Voting</w:t>
      </w:r>
      <w:r w:rsidRPr="008F09E5">
        <w:rPr>
          <w:szCs w:val="22"/>
        </w:rPr>
        <w:t xml:space="preserve"> </w:t>
      </w:r>
      <w:r w:rsidR="003C4B05" w:rsidRPr="008F09E5">
        <w:rPr>
          <w:szCs w:val="22"/>
        </w:rPr>
        <w:t>shall be decided by a simple majority, with each voting member receiving one vote.</w:t>
      </w:r>
    </w:p>
    <w:p w14:paraId="0A4F0CFD" w14:textId="77777777" w:rsidR="00872674" w:rsidRPr="00FE6777" w:rsidRDefault="00872674" w:rsidP="00AB3012">
      <w:pPr>
        <w:pStyle w:val="Default"/>
        <w:rPr>
          <w:szCs w:val="23"/>
        </w:rPr>
      </w:pPr>
    </w:p>
    <w:p w14:paraId="15B1F3B2" w14:textId="77777777" w:rsidR="00C74BA4" w:rsidRPr="00FE6777" w:rsidRDefault="00C74BA4" w:rsidP="00AB3012">
      <w:pPr>
        <w:pStyle w:val="Default"/>
        <w:rPr>
          <w:b/>
          <w:bCs/>
          <w:szCs w:val="23"/>
        </w:rPr>
      </w:pPr>
    </w:p>
    <w:p w14:paraId="66DEA677" w14:textId="77777777" w:rsidR="00C74BA4" w:rsidRPr="00FE6777" w:rsidRDefault="00C74BA4" w:rsidP="00AB3012">
      <w:pPr>
        <w:pStyle w:val="Default"/>
        <w:rPr>
          <w:b/>
          <w:bCs/>
          <w:szCs w:val="23"/>
        </w:rPr>
      </w:pPr>
    </w:p>
    <w:p w14:paraId="06A502EB" w14:textId="77777777" w:rsidR="00AB3012" w:rsidRPr="00FE6777" w:rsidRDefault="00AB3012" w:rsidP="00AB3012">
      <w:pPr>
        <w:pStyle w:val="Default"/>
        <w:rPr>
          <w:b/>
          <w:bCs/>
          <w:szCs w:val="23"/>
        </w:rPr>
      </w:pPr>
      <w:r w:rsidRPr="00FE6777">
        <w:rPr>
          <w:b/>
          <w:bCs/>
          <w:szCs w:val="23"/>
        </w:rPr>
        <w:t>MEETING S</w:t>
      </w:r>
      <w:r w:rsidR="004F447E" w:rsidRPr="00FE6777">
        <w:rPr>
          <w:b/>
          <w:bCs/>
          <w:szCs w:val="23"/>
        </w:rPr>
        <w:t>CHEDULING, AGENDAS, AND MINUTES:</w:t>
      </w:r>
    </w:p>
    <w:p w14:paraId="036DA321" w14:textId="77777777" w:rsidR="005B0FF4" w:rsidRPr="00FE6777" w:rsidRDefault="005B0FF4" w:rsidP="00AB3012">
      <w:pPr>
        <w:pStyle w:val="Default"/>
        <w:rPr>
          <w:szCs w:val="23"/>
        </w:rPr>
      </w:pPr>
    </w:p>
    <w:p w14:paraId="2017CD7B" w14:textId="77777777" w:rsidR="004F6D9B" w:rsidRPr="00FE6777" w:rsidRDefault="00AB3012" w:rsidP="007345C0">
      <w:pPr>
        <w:rPr>
          <w:sz w:val="24"/>
        </w:rPr>
      </w:pPr>
      <w:r w:rsidRPr="00FE6777">
        <w:rPr>
          <w:sz w:val="24"/>
        </w:rPr>
        <w:t xml:space="preserve">The Committee shall meet </w:t>
      </w:r>
      <w:r w:rsidR="00A6147D" w:rsidRPr="00FE6777">
        <w:rPr>
          <w:sz w:val="24"/>
        </w:rPr>
        <w:t>monthly or as needed</w:t>
      </w:r>
      <w:r w:rsidRPr="00FE6777">
        <w:rPr>
          <w:sz w:val="24"/>
        </w:rPr>
        <w:t xml:space="preserve"> to accomplish its goals </w:t>
      </w:r>
      <w:r w:rsidR="005027E0" w:rsidRPr="00FE6777">
        <w:rPr>
          <w:sz w:val="24"/>
        </w:rPr>
        <w:t>and responsibilities</w:t>
      </w:r>
      <w:r w:rsidR="00872674" w:rsidRPr="00FE6777">
        <w:rPr>
          <w:sz w:val="24"/>
        </w:rPr>
        <w:t xml:space="preserve">. The </w:t>
      </w:r>
      <w:r w:rsidR="005B0FF4" w:rsidRPr="00FE6777">
        <w:rPr>
          <w:sz w:val="24"/>
        </w:rPr>
        <w:t xml:space="preserve">committee will determine the day and time </w:t>
      </w:r>
      <w:r w:rsidR="00A6147D" w:rsidRPr="00FE6777">
        <w:rPr>
          <w:sz w:val="24"/>
        </w:rPr>
        <w:t xml:space="preserve">of each </w:t>
      </w:r>
      <w:r w:rsidR="005B0FF4" w:rsidRPr="00FE6777">
        <w:rPr>
          <w:sz w:val="24"/>
        </w:rPr>
        <w:t>meeting. Agendas and minutes will be recorded.</w:t>
      </w:r>
    </w:p>
    <w:p w14:paraId="4C32ACC4" w14:textId="77777777" w:rsidR="004F6D9B" w:rsidRPr="00FE6777" w:rsidRDefault="004F6D9B" w:rsidP="00F720A6">
      <w:pPr>
        <w:pStyle w:val="Default"/>
        <w:rPr>
          <w:b/>
          <w:szCs w:val="23"/>
        </w:rPr>
      </w:pPr>
    </w:p>
    <w:p w14:paraId="4F1AC72D" w14:textId="77777777" w:rsidR="00F720A6" w:rsidRPr="00FE6777" w:rsidRDefault="005B0FF4" w:rsidP="00F720A6">
      <w:pPr>
        <w:pStyle w:val="Default"/>
        <w:rPr>
          <w:b/>
          <w:szCs w:val="23"/>
        </w:rPr>
      </w:pPr>
      <w:r w:rsidRPr="00FE6777">
        <w:rPr>
          <w:b/>
          <w:szCs w:val="23"/>
        </w:rPr>
        <w:t>RELATIONSHIP WITH OTHER COMMITTEES</w:t>
      </w:r>
      <w:r w:rsidR="004F6D9B" w:rsidRPr="00FE6777">
        <w:rPr>
          <w:b/>
          <w:szCs w:val="23"/>
        </w:rPr>
        <w:t>:</w:t>
      </w:r>
    </w:p>
    <w:p w14:paraId="5157D95F" w14:textId="77777777" w:rsidR="005B0FF4" w:rsidRPr="00FE6777" w:rsidRDefault="005B0FF4" w:rsidP="00F720A6">
      <w:pPr>
        <w:pStyle w:val="Default"/>
        <w:rPr>
          <w:szCs w:val="23"/>
        </w:rPr>
      </w:pPr>
    </w:p>
    <w:p w14:paraId="323AEB0D" w14:textId="42A40068" w:rsidR="00CB0B7A" w:rsidRPr="00FE6777" w:rsidRDefault="005B0FF4" w:rsidP="004F6D9B">
      <w:pPr>
        <w:rPr>
          <w:color w:val="auto"/>
          <w:sz w:val="24"/>
        </w:rPr>
      </w:pPr>
      <w:r w:rsidRPr="00FE6777">
        <w:rPr>
          <w:sz w:val="24"/>
        </w:rPr>
        <w:t>The D</w:t>
      </w:r>
      <w:r w:rsidR="00CB0B7A" w:rsidRPr="00FE6777">
        <w:rPr>
          <w:sz w:val="24"/>
        </w:rPr>
        <w:t>ual</w:t>
      </w:r>
      <w:r w:rsidRPr="00FE6777">
        <w:rPr>
          <w:sz w:val="24"/>
        </w:rPr>
        <w:t xml:space="preserve"> E</w:t>
      </w:r>
      <w:r w:rsidR="00A336EE" w:rsidRPr="00FE6777">
        <w:rPr>
          <w:sz w:val="24"/>
        </w:rPr>
        <w:t>nrollment</w:t>
      </w:r>
      <w:r w:rsidRPr="00FE6777">
        <w:rPr>
          <w:sz w:val="24"/>
        </w:rPr>
        <w:t xml:space="preserve"> Committee </w:t>
      </w:r>
      <w:r w:rsidR="00251201" w:rsidRPr="00FE6777">
        <w:rPr>
          <w:sz w:val="24"/>
        </w:rPr>
        <w:t>is a subcommittee of</w:t>
      </w:r>
      <w:r w:rsidRPr="00FE6777">
        <w:rPr>
          <w:sz w:val="24"/>
        </w:rPr>
        <w:t xml:space="preserve"> the Academic Senate. </w:t>
      </w:r>
      <w:r w:rsidR="00CB0B7A" w:rsidRPr="00FE6777">
        <w:rPr>
          <w:color w:val="auto"/>
          <w:sz w:val="24"/>
        </w:rPr>
        <w:t>Approved changes to current programs, policies, and procedures of the Dual Enrollment Committee must be reviewed and approved by the Academic Senate</w:t>
      </w:r>
      <w:r w:rsidR="00C843A3" w:rsidRPr="00FE6777">
        <w:rPr>
          <w:color w:val="auto"/>
          <w:sz w:val="24"/>
        </w:rPr>
        <w:t>.</w:t>
      </w:r>
    </w:p>
    <w:p w14:paraId="19582DE3" w14:textId="77777777" w:rsidR="00CB0B7A" w:rsidRPr="00FE6777" w:rsidRDefault="00CB0B7A" w:rsidP="004F6D9B">
      <w:pPr>
        <w:rPr>
          <w:sz w:val="24"/>
        </w:rPr>
      </w:pPr>
    </w:p>
    <w:p w14:paraId="66E520F9" w14:textId="77777777" w:rsidR="004F6D9B" w:rsidRPr="00FE6777" w:rsidRDefault="005B0FF4" w:rsidP="004F6D9B">
      <w:pPr>
        <w:rPr>
          <w:sz w:val="24"/>
        </w:rPr>
      </w:pPr>
      <w:r w:rsidRPr="00FE6777">
        <w:rPr>
          <w:sz w:val="24"/>
        </w:rPr>
        <w:t>T</w:t>
      </w:r>
      <w:r w:rsidR="00251201" w:rsidRPr="00FE6777">
        <w:rPr>
          <w:sz w:val="24"/>
        </w:rPr>
        <w:t xml:space="preserve">he </w:t>
      </w:r>
      <w:r w:rsidR="00CB0B7A" w:rsidRPr="00FE6777">
        <w:rPr>
          <w:sz w:val="24"/>
        </w:rPr>
        <w:t xml:space="preserve">Dual </w:t>
      </w:r>
      <w:r w:rsidR="00251201" w:rsidRPr="00FE6777">
        <w:rPr>
          <w:sz w:val="24"/>
        </w:rPr>
        <w:t>E</w:t>
      </w:r>
      <w:r w:rsidR="00A336EE" w:rsidRPr="00FE6777">
        <w:rPr>
          <w:sz w:val="24"/>
        </w:rPr>
        <w:t>nrollment</w:t>
      </w:r>
      <w:r w:rsidR="004F6D9B" w:rsidRPr="00FE6777">
        <w:rPr>
          <w:sz w:val="24"/>
        </w:rPr>
        <w:t xml:space="preserve"> Committee may also </w:t>
      </w:r>
      <w:r w:rsidR="00114FF5" w:rsidRPr="00FE6777">
        <w:rPr>
          <w:sz w:val="24"/>
        </w:rPr>
        <w:t xml:space="preserve">make recommendations to </w:t>
      </w:r>
      <w:r w:rsidR="009C396D" w:rsidRPr="00FE6777">
        <w:rPr>
          <w:sz w:val="24"/>
        </w:rPr>
        <w:t>other committees regarding</w:t>
      </w:r>
      <w:r w:rsidR="004F6D9B" w:rsidRPr="00FE6777">
        <w:rPr>
          <w:sz w:val="24"/>
        </w:rPr>
        <w:t xml:space="preserve"> </w:t>
      </w:r>
      <w:r w:rsidR="00A336EE" w:rsidRPr="00FE6777">
        <w:rPr>
          <w:sz w:val="24"/>
        </w:rPr>
        <w:t>dual enrollment, concurrent enrollment, CCAP and</w:t>
      </w:r>
      <w:r w:rsidR="004F6D9B" w:rsidRPr="00FE6777">
        <w:rPr>
          <w:sz w:val="24"/>
        </w:rPr>
        <w:t xml:space="preserve"> related issues as needed.</w:t>
      </w:r>
    </w:p>
    <w:p w14:paraId="7F2EE38B" w14:textId="77777777" w:rsidR="004F6D9B" w:rsidRPr="00FE6777" w:rsidRDefault="004F6D9B" w:rsidP="004F6D9B">
      <w:pPr>
        <w:rPr>
          <w:sz w:val="24"/>
        </w:rPr>
      </w:pPr>
    </w:p>
    <w:p w14:paraId="44DC4BB3" w14:textId="77777777" w:rsidR="005B0FF4" w:rsidRPr="00FE6777" w:rsidRDefault="004F6D9B" w:rsidP="004F6D9B">
      <w:pPr>
        <w:rPr>
          <w:b/>
          <w:sz w:val="24"/>
        </w:rPr>
      </w:pPr>
      <w:r w:rsidRPr="00FE6777">
        <w:rPr>
          <w:b/>
          <w:sz w:val="24"/>
        </w:rPr>
        <w:t>SELF-EVALUATION:</w:t>
      </w:r>
    </w:p>
    <w:p w14:paraId="5250E3C6" w14:textId="77777777" w:rsidR="005B0FF4" w:rsidRPr="00FE6777" w:rsidRDefault="005B0FF4" w:rsidP="004F6D9B">
      <w:pPr>
        <w:rPr>
          <w:sz w:val="24"/>
        </w:rPr>
      </w:pPr>
    </w:p>
    <w:p w14:paraId="043F034B" w14:textId="77777777" w:rsidR="005B0FF4" w:rsidRPr="00FE6777" w:rsidRDefault="005B0FF4" w:rsidP="004F6D9B">
      <w:pPr>
        <w:rPr>
          <w:sz w:val="24"/>
        </w:rPr>
      </w:pPr>
      <w:r w:rsidRPr="00FE6777">
        <w:rPr>
          <w:sz w:val="24"/>
        </w:rPr>
        <w:t xml:space="preserve">The </w:t>
      </w:r>
      <w:r w:rsidR="008E4DE5" w:rsidRPr="00FE6777">
        <w:rPr>
          <w:sz w:val="24"/>
        </w:rPr>
        <w:t>Dual Enrollment</w:t>
      </w:r>
      <w:r w:rsidRPr="00FE6777">
        <w:rPr>
          <w:sz w:val="24"/>
        </w:rPr>
        <w:t xml:space="preserve"> Committee shall: </w:t>
      </w:r>
    </w:p>
    <w:p w14:paraId="006DF7FE" w14:textId="77777777" w:rsidR="005B0FF4" w:rsidRPr="00FE6777" w:rsidRDefault="005B0FF4" w:rsidP="004F6D9B">
      <w:pPr>
        <w:rPr>
          <w:sz w:val="24"/>
        </w:rPr>
      </w:pPr>
      <w:r w:rsidRPr="00FE6777">
        <w:rPr>
          <w:sz w:val="24"/>
        </w:rPr>
        <w:t xml:space="preserve">• Review/evaluate their performance at the end of each academic year </w:t>
      </w:r>
    </w:p>
    <w:p w14:paraId="15CF710A" w14:textId="77777777" w:rsidR="00990E0E" w:rsidRPr="00FE6777" w:rsidRDefault="005B0FF4" w:rsidP="004F6D9B">
      <w:pPr>
        <w:rPr>
          <w:sz w:val="24"/>
        </w:rPr>
      </w:pPr>
      <w:r w:rsidRPr="00FE6777">
        <w:rPr>
          <w:sz w:val="24"/>
        </w:rPr>
        <w:t>• Review/evaluate the Committee Charter at the beginning of each academic year</w:t>
      </w:r>
    </w:p>
    <w:p w14:paraId="52305517" w14:textId="77777777" w:rsidR="00AB3012" w:rsidRPr="00FE6777" w:rsidRDefault="00AB3012" w:rsidP="00EA6AEF">
      <w:pPr>
        <w:pStyle w:val="Default"/>
        <w:rPr>
          <w:szCs w:val="23"/>
        </w:rPr>
      </w:pPr>
    </w:p>
    <w:p w14:paraId="233D2B23" w14:textId="77777777" w:rsidR="003B7591" w:rsidRPr="00FE6777" w:rsidRDefault="003B7591" w:rsidP="00EA6AEF">
      <w:pPr>
        <w:pStyle w:val="Default"/>
        <w:rPr>
          <w:szCs w:val="23"/>
        </w:rPr>
      </w:pPr>
    </w:p>
    <w:p w14:paraId="7CAC9C5A" w14:textId="77777777" w:rsidR="003B7591" w:rsidRPr="00FE6777" w:rsidRDefault="003B7591" w:rsidP="00EA6AEF">
      <w:pPr>
        <w:pStyle w:val="Default"/>
        <w:rPr>
          <w:szCs w:val="23"/>
        </w:rPr>
      </w:pPr>
    </w:p>
    <w:p w14:paraId="04F72335" w14:textId="276F3DEB" w:rsidR="003B7591" w:rsidRPr="003C4B05" w:rsidRDefault="00C843A3" w:rsidP="00EA6AEF">
      <w:pPr>
        <w:pStyle w:val="Default"/>
        <w:rPr>
          <w:szCs w:val="23"/>
        </w:rPr>
      </w:pPr>
      <w:r w:rsidRPr="00FE6777">
        <w:rPr>
          <w:szCs w:val="23"/>
        </w:rPr>
        <w:t xml:space="preserve">Updated: </w:t>
      </w:r>
      <w:r w:rsidR="003C4B05" w:rsidRPr="008F09E5">
        <w:rPr>
          <w:szCs w:val="23"/>
        </w:rPr>
        <w:t>9/7/22</w:t>
      </w:r>
    </w:p>
    <w:p w14:paraId="01CD992D" w14:textId="0F30EACE" w:rsidR="003C67E0" w:rsidRDefault="003C67E0" w:rsidP="00EA6AEF">
      <w:pPr>
        <w:pStyle w:val="Default"/>
        <w:rPr>
          <w:szCs w:val="23"/>
        </w:rPr>
      </w:pPr>
      <w:r>
        <w:rPr>
          <w:szCs w:val="23"/>
        </w:rPr>
        <w:t>Academic Senate reviewed:  10/</w:t>
      </w:r>
      <w:r w:rsidR="008F09E5">
        <w:rPr>
          <w:szCs w:val="23"/>
        </w:rPr>
        <w:t>3</w:t>
      </w:r>
      <w:r>
        <w:rPr>
          <w:szCs w:val="23"/>
        </w:rPr>
        <w:t>/2</w:t>
      </w:r>
      <w:r w:rsidR="008F09E5">
        <w:rPr>
          <w:szCs w:val="23"/>
        </w:rPr>
        <w:t>2</w:t>
      </w:r>
    </w:p>
    <w:p w14:paraId="62AC8A6B" w14:textId="641982C0" w:rsidR="0086561F" w:rsidRPr="007535BA" w:rsidRDefault="0086561F" w:rsidP="00EA6AEF">
      <w:pPr>
        <w:pStyle w:val="Default"/>
        <w:rPr>
          <w:szCs w:val="23"/>
        </w:rPr>
      </w:pPr>
      <w:r>
        <w:rPr>
          <w:szCs w:val="23"/>
        </w:rPr>
        <w:t>DE committee reviewed:  9/4/24</w:t>
      </w:r>
    </w:p>
    <w:sectPr w:rsidR="0086561F" w:rsidRPr="007535BA" w:rsidSect="004F284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4EF6" w14:textId="77777777" w:rsidR="00F30629" w:rsidRDefault="00F30629" w:rsidP="004F6D9B">
      <w:r>
        <w:separator/>
      </w:r>
    </w:p>
  </w:endnote>
  <w:endnote w:type="continuationSeparator" w:id="0">
    <w:p w14:paraId="062079CE" w14:textId="77777777" w:rsidR="00F30629" w:rsidRDefault="00F30629" w:rsidP="004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11A9" w14:textId="77777777" w:rsidR="00F30629" w:rsidRDefault="00F30629" w:rsidP="004F6D9B">
      <w:r>
        <w:separator/>
      </w:r>
    </w:p>
  </w:footnote>
  <w:footnote w:type="continuationSeparator" w:id="0">
    <w:p w14:paraId="4B30054C" w14:textId="77777777" w:rsidR="00F30629" w:rsidRDefault="00F30629" w:rsidP="004F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8D38E6"/>
    <w:multiLevelType w:val="hybridMultilevel"/>
    <w:tmpl w:val="F02894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96192"/>
    <w:multiLevelType w:val="hybridMultilevel"/>
    <w:tmpl w:val="AD60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EC0"/>
    <w:multiLevelType w:val="hybridMultilevel"/>
    <w:tmpl w:val="A0D803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4A32B8"/>
    <w:multiLevelType w:val="hybridMultilevel"/>
    <w:tmpl w:val="5350B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390F"/>
    <w:multiLevelType w:val="hybridMultilevel"/>
    <w:tmpl w:val="5B0E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1EA9"/>
    <w:multiLevelType w:val="hybridMultilevel"/>
    <w:tmpl w:val="F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17182"/>
    <w:multiLevelType w:val="hybridMultilevel"/>
    <w:tmpl w:val="A0B6E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D104B7"/>
    <w:multiLevelType w:val="hybridMultilevel"/>
    <w:tmpl w:val="2C82C36E"/>
    <w:lvl w:ilvl="0" w:tplc="F8CE8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2A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84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09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CF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E1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64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00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0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1339FE"/>
    <w:multiLevelType w:val="hybridMultilevel"/>
    <w:tmpl w:val="17DC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6857"/>
    <w:multiLevelType w:val="hybridMultilevel"/>
    <w:tmpl w:val="4654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F218A"/>
    <w:multiLevelType w:val="hybridMultilevel"/>
    <w:tmpl w:val="072A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66E3"/>
    <w:multiLevelType w:val="hybridMultilevel"/>
    <w:tmpl w:val="A59E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61A7F"/>
    <w:multiLevelType w:val="hybridMultilevel"/>
    <w:tmpl w:val="5350B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12626"/>
    <w:multiLevelType w:val="hybridMultilevel"/>
    <w:tmpl w:val="906C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F3535"/>
    <w:multiLevelType w:val="hybridMultilevel"/>
    <w:tmpl w:val="00BC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C189B"/>
    <w:multiLevelType w:val="hybridMultilevel"/>
    <w:tmpl w:val="6C80C54A"/>
    <w:lvl w:ilvl="0" w:tplc="5650AB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A53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203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475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B3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E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0B8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07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6A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7945894">
    <w:abstractNumId w:val="0"/>
  </w:num>
  <w:num w:numId="2" w16cid:durableId="45297799">
    <w:abstractNumId w:val="2"/>
  </w:num>
  <w:num w:numId="3" w16cid:durableId="1222671542">
    <w:abstractNumId w:val="9"/>
  </w:num>
  <w:num w:numId="4" w16cid:durableId="1583685659">
    <w:abstractNumId w:val="14"/>
  </w:num>
  <w:num w:numId="5" w16cid:durableId="1444766988">
    <w:abstractNumId w:val="15"/>
  </w:num>
  <w:num w:numId="6" w16cid:durableId="1098331339">
    <w:abstractNumId w:val="6"/>
  </w:num>
  <w:num w:numId="7" w16cid:durableId="105782857">
    <w:abstractNumId w:val="10"/>
  </w:num>
  <w:num w:numId="8" w16cid:durableId="1695956237">
    <w:abstractNumId w:val="12"/>
  </w:num>
  <w:num w:numId="9" w16cid:durableId="499273552">
    <w:abstractNumId w:val="11"/>
  </w:num>
  <w:num w:numId="10" w16cid:durableId="767693998">
    <w:abstractNumId w:val="8"/>
  </w:num>
  <w:num w:numId="11" w16cid:durableId="335305509">
    <w:abstractNumId w:val="16"/>
  </w:num>
  <w:num w:numId="12" w16cid:durableId="1939366629">
    <w:abstractNumId w:val="1"/>
  </w:num>
  <w:num w:numId="13" w16cid:durableId="1094088888">
    <w:abstractNumId w:val="13"/>
  </w:num>
  <w:num w:numId="14" w16cid:durableId="28460415">
    <w:abstractNumId w:val="4"/>
  </w:num>
  <w:num w:numId="15" w16cid:durableId="1086733936">
    <w:abstractNumId w:val="7"/>
  </w:num>
  <w:num w:numId="16" w16cid:durableId="1650284577">
    <w:abstractNumId w:val="5"/>
  </w:num>
  <w:num w:numId="17" w16cid:durableId="230391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12"/>
    <w:rsid w:val="00005BE0"/>
    <w:rsid w:val="000118CC"/>
    <w:rsid w:val="0006113D"/>
    <w:rsid w:val="00066AFD"/>
    <w:rsid w:val="000739BE"/>
    <w:rsid w:val="00096252"/>
    <w:rsid w:val="000A4EB6"/>
    <w:rsid w:val="000D3A76"/>
    <w:rsid w:val="000F743B"/>
    <w:rsid w:val="00114FF5"/>
    <w:rsid w:val="001671D8"/>
    <w:rsid w:val="00185985"/>
    <w:rsid w:val="001A5EB8"/>
    <w:rsid w:val="001C1062"/>
    <w:rsid w:val="00217E12"/>
    <w:rsid w:val="00237EC2"/>
    <w:rsid w:val="00251201"/>
    <w:rsid w:val="00252C8D"/>
    <w:rsid w:val="002947C5"/>
    <w:rsid w:val="002A389E"/>
    <w:rsid w:val="002B04AA"/>
    <w:rsid w:val="00317D2E"/>
    <w:rsid w:val="0032421A"/>
    <w:rsid w:val="003274A4"/>
    <w:rsid w:val="00327643"/>
    <w:rsid w:val="00344947"/>
    <w:rsid w:val="00387CE0"/>
    <w:rsid w:val="003B7591"/>
    <w:rsid w:val="003C4B05"/>
    <w:rsid w:val="003C67E0"/>
    <w:rsid w:val="003E5DD0"/>
    <w:rsid w:val="003E69C0"/>
    <w:rsid w:val="00446DA3"/>
    <w:rsid w:val="00451AB3"/>
    <w:rsid w:val="00453812"/>
    <w:rsid w:val="00480DC6"/>
    <w:rsid w:val="004B1978"/>
    <w:rsid w:val="004F0F3F"/>
    <w:rsid w:val="004F284A"/>
    <w:rsid w:val="004F447E"/>
    <w:rsid w:val="004F6D9B"/>
    <w:rsid w:val="005027E0"/>
    <w:rsid w:val="00504341"/>
    <w:rsid w:val="00511E0B"/>
    <w:rsid w:val="0052504D"/>
    <w:rsid w:val="00542BDB"/>
    <w:rsid w:val="00563350"/>
    <w:rsid w:val="00573793"/>
    <w:rsid w:val="00582927"/>
    <w:rsid w:val="00583693"/>
    <w:rsid w:val="005A5603"/>
    <w:rsid w:val="005B0FF4"/>
    <w:rsid w:val="005B6FA0"/>
    <w:rsid w:val="005E222E"/>
    <w:rsid w:val="00621749"/>
    <w:rsid w:val="0064318E"/>
    <w:rsid w:val="00646DFA"/>
    <w:rsid w:val="0065474C"/>
    <w:rsid w:val="006B4631"/>
    <w:rsid w:val="006C6B6A"/>
    <w:rsid w:val="006D6DA8"/>
    <w:rsid w:val="006F047F"/>
    <w:rsid w:val="007157C6"/>
    <w:rsid w:val="007272D9"/>
    <w:rsid w:val="007300BC"/>
    <w:rsid w:val="007345C0"/>
    <w:rsid w:val="007377D5"/>
    <w:rsid w:val="00737AA4"/>
    <w:rsid w:val="007535BA"/>
    <w:rsid w:val="00753D5C"/>
    <w:rsid w:val="00776CE7"/>
    <w:rsid w:val="00777F23"/>
    <w:rsid w:val="007A07F9"/>
    <w:rsid w:val="007D72A5"/>
    <w:rsid w:val="0081629C"/>
    <w:rsid w:val="00831C5C"/>
    <w:rsid w:val="0086561F"/>
    <w:rsid w:val="00872674"/>
    <w:rsid w:val="00874E0D"/>
    <w:rsid w:val="00881906"/>
    <w:rsid w:val="00887AB2"/>
    <w:rsid w:val="008A6629"/>
    <w:rsid w:val="008E4DE5"/>
    <w:rsid w:val="008E6634"/>
    <w:rsid w:val="008F09E5"/>
    <w:rsid w:val="00963DF6"/>
    <w:rsid w:val="009721F1"/>
    <w:rsid w:val="00990E0E"/>
    <w:rsid w:val="00991DBF"/>
    <w:rsid w:val="009A381A"/>
    <w:rsid w:val="009A6465"/>
    <w:rsid w:val="009B1BE9"/>
    <w:rsid w:val="009B77B0"/>
    <w:rsid w:val="009C07F8"/>
    <w:rsid w:val="009C396D"/>
    <w:rsid w:val="009D1F12"/>
    <w:rsid w:val="009D4CB7"/>
    <w:rsid w:val="009F003D"/>
    <w:rsid w:val="00A2133C"/>
    <w:rsid w:val="00A336EE"/>
    <w:rsid w:val="00A5448D"/>
    <w:rsid w:val="00A6147D"/>
    <w:rsid w:val="00A718EC"/>
    <w:rsid w:val="00A807A7"/>
    <w:rsid w:val="00A924C5"/>
    <w:rsid w:val="00AB3012"/>
    <w:rsid w:val="00AE4B4E"/>
    <w:rsid w:val="00AF5AF5"/>
    <w:rsid w:val="00B07E9C"/>
    <w:rsid w:val="00B13862"/>
    <w:rsid w:val="00B20410"/>
    <w:rsid w:val="00B748B6"/>
    <w:rsid w:val="00B9796C"/>
    <w:rsid w:val="00B97F69"/>
    <w:rsid w:val="00BA137F"/>
    <w:rsid w:val="00BB2BD9"/>
    <w:rsid w:val="00BD0620"/>
    <w:rsid w:val="00C30460"/>
    <w:rsid w:val="00C41026"/>
    <w:rsid w:val="00C41296"/>
    <w:rsid w:val="00C5218F"/>
    <w:rsid w:val="00C55CF4"/>
    <w:rsid w:val="00C57E91"/>
    <w:rsid w:val="00C62A86"/>
    <w:rsid w:val="00C74BA4"/>
    <w:rsid w:val="00C75326"/>
    <w:rsid w:val="00C843A3"/>
    <w:rsid w:val="00C96676"/>
    <w:rsid w:val="00CB022D"/>
    <w:rsid w:val="00CB0B7A"/>
    <w:rsid w:val="00CB348D"/>
    <w:rsid w:val="00CD4857"/>
    <w:rsid w:val="00CE58F3"/>
    <w:rsid w:val="00D21334"/>
    <w:rsid w:val="00D34A26"/>
    <w:rsid w:val="00D55556"/>
    <w:rsid w:val="00D71775"/>
    <w:rsid w:val="00DC05BB"/>
    <w:rsid w:val="00DC1F4F"/>
    <w:rsid w:val="00DD38CC"/>
    <w:rsid w:val="00DE1B09"/>
    <w:rsid w:val="00E03867"/>
    <w:rsid w:val="00E25F4D"/>
    <w:rsid w:val="00E31777"/>
    <w:rsid w:val="00EA6AEF"/>
    <w:rsid w:val="00EB731F"/>
    <w:rsid w:val="00F065C0"/>
    <w:rsid w:val="00F15403"/>
    <w:rsid w:val="00F30629"/>
    <w:rsid w:val="00F613EF"/>
    <w:rsid w:val="00F720A6"/>
    <w:rsid w:val="00FB3CDA"/>
    <w:rsid w:val="00FC66ED"/>
    <w:rsid w:val="00FD0A3D"/>
    <w:rsid w:val="00FE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7E4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3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48D"/>
  </w:style>
  <w:style w:type="paragraph" w:styleId="Footer">
    <w:name w:val="footer"/>
    <w:basedOn w:val="Normal"/>
    <w:link w:val="FooterChar"/>
    <w:uiPriority w:val="99"/>
    <w:unhideWhenUsed/>
    <w:rsid w:val="00A54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48D"/>
  </w:style>
  <w:style w:type="paragraph" w:styleId="BalloonText">
    <w:name w:val="Balloon Text"/>
    <w:basedOn w:val="Normal"/>
    <w:link w:val="BalloonTextChar"/>
    <w:uiPriority w:val="99"/>
    <w:semiHidden/>
    <w:unhideWhenUsed/>
    <w:rsid w:val="00737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6D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Greg Golling</cp:lastModifiedBy>
  <cp:revision>2</cp:revision>
  <cp:lastPrinted>2024-09-04T17:47:00Z</cp:lastPrinted>
  <dcterms:created xsi:type="dcterms:W3CDTF">2024-10-02T18:38:00Z</dcterms:created>
  <dcterms:modified xsi:type="dcterms:W3CDTF">2024-10-02T18:38:00Z</dcterms:modified>
</cp:coreProperties>
</file>