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82792D" w14:textId="544BF8E4" w:rsidR="007C0DB9" w:rsidRDefault="00D05136" w:rsidP="00D05136">
      <w:pPr>
        <w:spacing w:after="0"/>
        <w:ind w:hanging="990"/>
        <w:jc w:val="center"/>
      </w:pPr>
      <w:r w:rsidRPr="00D05136">
        <w:rPr>
          <w:noProof/>
        </w:rPr>
        <w:drawing>
          <wp:inline distT="0" distB="0" distL="0" distR="0" wp14:anchorId="01983360" wp14:editId="60C3F665">
            <wp:extent cx="7762011" cy="8973765"/>
            <wp:effectExtent l="0" t="0" r="0" b="0"/>
            <wp:docPr id="231417121" name="Picture 1" descr="A collage of a person and person in graduation gow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17121" name="Picture 1" descr="A collage of a person and person in graduation gowns&#10;&#10;AI-generated content may be incorrect."/>
                    <pic:cNvPicPr/>
                  </pic:nvPicPr>
                  <pic:blipFill>
                    <a:blip r:embed="rId8"/>
                    <a:stretch>
                      <a:fillRect/>
                    </a:stretch>
                  </pic:blipFill>
                  <pic:spPr>
                    <a:xfrm>
                      <a:off x="0" y="0"/>
                      <a:ext cx="7792244" cy="9008717"/>
                    </a:xfrm>
                    <a:prstGeom prst="rect">
                      <a:avLst/>
                    </a:prstGeom>
                  </pic:spPr>
                </pic:pic>
              </a:graphicData>
            </a:graphic>
          </wp:inline>
        </w:drawing>
      </w:r>
      <w:r w:rsidR="007C0DB9">
        <w:br w:type="page"/>
      </w:r>
    </w:p>
    <w:sdt>
      <w:sdtPr>
        <w:rPr>
          <w:rFonts w:asciiTheme="minorHAnsi" w:eastAsia="Times New Roman" w:hAnsiTheme="minorHAnsi" w:cs="Times New Roman"/>
          <w:b w:val="0"/>
          <w:bCs w:val="0"/>
          <w:color w:val="auto"/>
          <w:sz w:val="22"/>
          <w:szCs w:val="24"/>
        </w:rPr>
        <w:id w:val="-715278451"/>
        <w:docPartObj>
          <w:docPartGallery w:val="Table of Contents"/>
          <w:docPartUnique/>
        </w:docPartObj>
      </w:sdtPr>
      <w:sdtEndPr>
        <w:rPr>
          <w:noProof/>
        </w:rPr>
      </w:sdtEndPr>
      <w:sdtContent>
        <w:p w14:paraId="59A70D16" w14:textId="01A67A51" w:rsidR="00635A4C" w:rsidRDefault="00635A4C">
          <w:pPr>
            <w:pStyle w:val="TOCHeading"/>
          </w:pPr>
          <w:r>
            <w:t>Contents</w:t>
          </w:r>
        </w:p>
        <w:p w14:paraId="457DCA0C" w14:textId="2B1470E0" w:rsidR="00635A4C" w:rsidRDefault="00635A4C">
          <w:pPr>
            <w:pStyle w:val="TOC1"/>
            <w:rPr>
              <w:rFonts w:eastAsiaTheme="minorEastAsia" w:cstheme="minorBidi"/>
              <w:b w:val="0"/>
              <w:bCs w:val="0"/>
              <w:kern w:val="2"/>
              <w14:ligatures w14:val="standardContextual"/>
            </w:rPr>
          </w:pPr>
          <w:r>
            <w:fldChar w:fldCharType="begin"/>
          </w:r>
          <w:r>
            <w:instrText xml:space="preserve"> TOC \o "1-3" \h \z \u </w:instrText>
          </w:r>
          <w:r>
            <w:fldChar w:fldCharType="separate"/>
          </w:r>
          <w:hyperlink w:anchor="_Toc194931544" w:history="1">
            <w:r w:rsidRPr="0050092A">
              <w:rPr>
                <w:rStyle w:val="Hyperlink"/>
              </w:rPr>
              <w:t>Acknowledgments</w:t>
            </w:r>
            <w:r>
              <w:rPr>
                <w:webHidden/>
              </w:rPr>
              <w:tab/>
            </w:r>
            <w:r>
              <w:rPr>
                <w:webHidden/>
              </w:rPr>
              <w:fldChar w:fldCharType="begin"/>
            </w:r>
            <w:r>
              <w:rPr>
                <w:webHidden/>
              </w:rPr>
              <w:instrText xml:space="preserve"> PAGEREF _Toc194931544 \h </w:instrText>
            </w:r>
            <w:r>
              <w:rPr>
                <w:webHidden/>
              </w:rPr>
            </w:r>
            <w:r>
              <w:rPr>
                <w:webHidden/>
              </w:rPr>
              <w:fldChar w:fldCharType="separate"/>
            </w:r>
            <w:r>
              <w:rPr>
                <w:webHidden/>
              </w:rPr>
              <w:t>4</w:t>
            </w:r>
            <w:r>
              <w:rPr>
                <w:webHidden/>
              </w:rPr>
              <w:fldChar w:fldCharType="end"/>
            </w:r>
          </w:hyperlink>
        </w:p>
        <w:p w14:paraId="05BCFE16" w14:textId="7DBE246A" w:rsidR="00635A4C" w:rsidRDefault="00635A4C">
          <w:pPr>
            <w:pStyle w:val="TOC2"/>
            <w:rPr>
              <w:rFonts w:asciiTheme="minorHAnsi" w:eastAsiaTheme="minorEastAsia" w:hAnsiTheme="minorHAnsi" w:cstheme="minorBidi"/>
              <w:kern w:val="2"/>
              <w:sz w:val="24"/>
              <w:szCs w:val="24"/>
              <w14:ligatures w14:val="standardContextual"/>
            </w:rPr>
          </w:pPr>
          <w:hyperlink w:anchor="_Toc194931545" w:history="1">
            <w:r w:rsidRPr="0050092A">
              <w:rPr>
                <w:rStyle w:val="Hyperlink"/>
              </w:rPr>
              <w:t>Educational Master Plan Committee (EMPC)</w:t>
            </w:r>
            <w:r>
              <w:rPr>
                <w:webHidden/>
              </w:rPr>
              <w:tab/>
            </w:r>
            <w:r>
              <w:rPr>
                <w:webHidden/>
              </w:rPr>
              <w:fldChar w:fldCharType="begin"/>
            </w:r>
            <w:r>
              <w:rPr>
                <w:webHidden/>
              </w:rPr>
              <w:instrText xml:space="preserve"> PAGEREF _Toc194931545 \h </w:instrText>
            </w:r>
            <w:r>
              <w:rPr>
                <w:webHidden/>
              </w:rPr>
            </w:r>
            <w:r>
              <w:rPr>
                <w:webHidden/>
              </w:rPr>
              <w:fldChar w:fldCharType="separate"/>
            </w:r>
            <w:r>
              <w:rPr>
                <w:webHidden/>
              </w:rPr>
              <w:t>4</w:t>
            </w:r>
            <w:r>
              <w:rPr>
                <w:webHidden/>
              </w:rPr>
              <w:fldChar w:fldCharType="end"/>
            </w:r>
          </w:hyperlink>
        </w:p>
        <w:p w14:paraId="3E6C4FA9" w14:textId="0B13BA99" w:rsidR="00635A4C" w:rsidRDefault="00635A4C">
          <w:pPr>
            <w:pStyle w:val="TOC1"/>
            <w:rPr>
              <w:rFonts w:eastAsiaTheme="minorEastAsia" w:cstheme="minorBidi"/>
              <w:b w:val="0"/>
              <w:bCs w:val="0"/>
              <w:kern w:val="2"/>
              <w14:ligatures w14:val="standardContextual"/>
            </w:rPr>
          </w:pPr>
          <w:hyperlink w:anchor="_Toc194931546" w:history="1">
            <w:r w:rsidRPr="0050092A">
              <w:rPr>
                <w:rStyle w:val="Hyperlink"/>
              </w:rPr>
              <w:t>Executive Summary</w:t>
            </w:r>
            <w:r>
              <w:rPr>
                <w:webHidden/>
              </w:rPr>
              <w:tab/>
            </w:r>
            <w:r>
              <w:rPr>
                <w:webHidden/>
              </w:rPr>
              <w:fldChar w:fldCharType="begin"/>
            </w:r>
            <w:r>
              <w:rPr>
                <w:webHidden/>
              </w:rPr>
              <w:instrText xml:space="preserve"> PAGEREF _Toc194931546 \h </w:instrText>
            </w:r>
            <w:r>
              <w:rPr>
                <w:webHidden/>
              </w:rPr>
            </w:r>
            <w:r>
              <w:rPr>
                <w:webHidden/>
              </w:rPr>
              <w:fldChar w:fldCharType="separate"/>
            </w:r>
            <w:r>
              <w:rPr>
                <w:webHidden/>
              </w:rPr>
              <w:t>5</w:t>
            </w:r>
            <w:r>
              <w:rPr>
                <w:webHidden/>
              </w:rPr>
              <w:fldChar w:fldCharType="end"/>
            </w:r>
          </w:hyperlink>
        </w:p>
        <w:p w14:paraId="5C38CCAD" w14:textId="7FE0AC2A" w:rsidR="00635A4C" w:rsidRDefault="00635A4C">
          <w:pPr>
            <w:pStyle w:val="TOC1"/>
            <w:rPr>
              <w:rFonts w:eastAsiaTheme="minorEastAsia" w:cstheme="minorBidi"/>
              <w:b w:val="0"/>
              <w:bCs w:val="0"/>
              <w:kern w:val="2"/>
              <w14:ligatures w14:val="standardContextual"/>
            </w:rPr>
          </w:pPr>
          <w:hyperlink w:anchor="_Toc194931547" w:history="1">
            <w:r w:rsidRPr="0050092A">
              <w:rPr>
                <w:rStyle w:val="Hyperlink"/>
              </w:rPr>
              <w:t>President’s Message</w:t>
            </w:r>
            <w:r>
              <w:rPr>
                <w:webHidden/>
              </w:rPr>
              <w:tab/>
            </w:r>
            <w:r>
              <w:rPr>
                <w:webHidden/>
              </w:rPr>
              <w:fldChar w:fldCharType="begin"/>
            </w:r>
            <w:r>
              <w:rPr>
                <w:webHidden/>
              </w:rPr>
              <w:instrText xml:space="preserve"> PAGEREF _Toc194931547 \h </w:instrText>
            </w:r>
            <w:r>
              <w:rPr>
                <w:webHidden/>
              </w:rPr>
            </w:r>
            <w:r>
              <w:rPr>
                <w:webHidden/>
              </w:rPr>
              <w:fldChar w:fldCharType="separate"/>
            </w:r>
            <w:r>
              <w:rPr>
                <w:webHidden/>
              </w:rPr>
              <w:t>6</w:t>
            </w:r>
            <w:r>
              <w:rPr>
                <w:webHidden/>
              </w:rPr>
              <w:fldChar w:fldCharType="end"/>
            </w:r>
          </w:hyperlink>
        </w:p>
        <w:p w14:paraId="0A10F13A" w14:textId="4541D4ED" w:rsidR="00635A4C" w:rsidRDefault="00635A4C">
          <w:pPr>
            <w:pStyle w:val="TOC1"/>
            <w:rPr>
              <w:rFonts w:eastAsiaTheme="minorEastAsia" w:cstheme="minorBidi"/>
              <w:b w:val="0"/>
              <w:bCs w:val="0"/>
              <w:kern w:val="2"/>
              <w14:ligatures w14:val="standardContextual"/>
            </w:rPr>
          </w:pPr>
          <w:hyperlink w:anchor="_Toc194931548" w:history="1">
            <w:r w:rsidRPr="0050092A">
              <w:rPr>
                <w:rStyle w:val="Hyperlink"/>
              </w:rPr>
              <w:t>Educational Master Plan Development Process</w:t>
            </w:r>
            <w:r>
              <w:rPr>
                <w:webHidden/>
              </w:rPr>
              <w:tab/>
            </w:r>
            <w:r>
              <w:rPr>
                <w:webHidden/>
              </w:rPr>
              <w:fldChar w:fldCharType="begin"/>
            </w:r>
            <w:r>
              <w:rPr>
                <w:webHidden/>
              </w:rPr>
              <w:instrText xml:space="preserve"> PAGEREF _Toc194931548 \h </w:instrText>
            </w:r>
            <w:r>
              <w:rPr>
                <w:webHidden/>
              </w:rPr>
            </w:r>
            <w:r>
              <w:rPr>
                <w:webHidden/>
              </w:rPr>
              <w:fldChar w:fldCharType="separate"/>
            </w:r>
            <w:r>
              <w:rPr>
                <w:webHidden/>
              </w:rPr>
              <w:t>7</w:t>
            </w:r>
            <w:r>
              <w:rPr>
                <w:webHidden/>
              </w:rPr>
              <w:fldChar w:fldCharType="end"/>
            </w:r>
          </w:hyperlink>
        </w:p>
        <w:p w14:paraId="4702F285" w14:textId="69222DF0" w:rsidR="00635A4C" w:rsidRDefault="00635A4C">
          <w:pPr>
            <w:pStyle w:val="TOC2"/>
            <w:rPr>
              <w:rFonts w:asciiTheme="minorHAnsi" w:eastAsiaTheme="minorEastAsia" w:hAnsiTheme="minorHAnsi" w:cstheme="minorBidi"/>
              <w:kern w:val="2"/>
              <w:sz w:val="24"/>
              <w:szCs w:val="24"/>
              <w14:ligatures w14:val="standardContextual"/>
            </w:rPr>
          </w:pPr>
          <w:hyperlink w:anchor="_Toc194931549" w:history="1">
            <w:r w:rsidRPr="0050092A">
              <w:rPr>
                <w:rStyle w:val="Hyperlink"/>
              </w:rPr>
              <w:t>Phase I:  Discovery Phase: Data Collection, Analysis, and Synthesis</w:t>
            </w:r>
            <w:r>
              <w:rPr>
                <w:webHidden/>
              </w:rPr>
              <w:tab/>
            </w:r>
            <w:r>
              <w:rPr>
                <w:webHidden/>
              </w:rPr>
              <w:fldChar w:fldCharType="begin"/>
            </w:r>
            <w:r>
              <w:rPr>
                <w:webHidden/>
              </w:rPr>
              <w:instrText xml:space="preserve"> PAGEREF _Toc194931549 \h </w:instrText>
            </w:r>
            <w:r>
              <w:rPr>
                <w:webHidden/>
              </w:rPr>
            </w:r>
            <w:r>
              <w:rPr>
                <w:webHidden/>
              </w:rPr>
              <w:fldChar w:fldCharType="separate"/>
            </w:r>
            <w:r>
              <w:rPr>
                <w:webHidden/>
              </w:rPr>
              <w:t>7</w:t>
            </w:r>
            <w:r>
              <w:rPr>
                <w:webHidden/>
              </w:rPr>
              <w:fldChar w:fldCharType="end"/>
            </w:r>
          </w:hyperlink>
        </w:p>
        <w:p w14:paraId="571EB7D9" w14:textId="0AE75474" w:rsidR="00635A4C" w:rsidRDefault="00635A4C">
          <w:pPr>
            <w:pStyle w:val="TOC2"/>
            <w:rPr>
              <w:rFonts w:asciiTheme="minorHAnsi" w:eastAsiaTheme="minorEastAsia" w:hAnsiTheme="minorHAnsi" w:cstheme="minorBidi"/>
              <w:kern w:val="2"/>
              <w:sz w:val="24"/>
              <w:szCs w:val="24"/>
              <w14:ligatures w14:val="standardContextual"/>
            </w:rPr>
          </w:pPr>
          <w:hyperlink w:anchor="_Toc194931550" w:history="1">
            <w:r w:rsidRPr="0050092A">
              <w:rPr>
                <w:rStyle w:val="Hyperlink"/>
              </w:rPr>
              <w:t>Phase II:  Portfolio Development and Planning Assumptions</w:t>
            </w:r>
            <w:r>
              <w:rPr>
                <w:webHidden/>
              </w:rPr>
              <w:tab/>
            </w:r>
            <w:r>
              <w:rPr>
                <w:webHidden/>
              </w:rPr>
              <w:fldChar w:fldCharType="begin"/>
            </w:r>
            <w:r>
              <w:rPr>
                <w:webHidden/>
              </w:rPr>
              <w:instrText xml:space="preserve"> PAGEREF _Toc194931550 \h </w:instrText>
            </w:r>
            <w:r>
              <w:rPr>
                <w:webHidden/>
              </w:rPr>
            </w:r>
            <w:r>
              <w:rPr>
                <w:webHidden/>
              </w:rPr>
              <w:fldChar w:fldCharType="separate"/>
            </w:r>
            <w:r>
              <w:rPr>
                <w:webHidden/>
              </w:rPr>
              <w:t>7</w:t>
            </w:r>
            <w:r>
              <w:rPr>
                <w:webHidden/>
              </w:rPr>
              <w:fldChar w:fldCharType="end"/>
            </w:r>
          </w:hyperlink>
        </w:p>
        <w:p w14:paraId="507FF060" w14:textId="60B0C446" w:rsidR="00635A4C" w:rsidRDefault="00635A4C">
          <w:pPr>
            <w:pStyle w:val="TOC2"/>
            <w:rPr>
              <w:rFonts w:asciiTheme="minorHAnsi" w:eastAsiaTheme="minorEastAsia" w:hAnsiTheme="minorHAnsi" w:cstheme="minorBidi"/>
              <w:kern w:val="2"/>
              <w:sz w:val="24"/>
              <w:szCs w:val="24"/>
              <w14:ligatures w14:val="standardContextual"/>
            </w:rPr>
          </w:pPr>
          <w:hyperlink w:anchor="_Toc194931551" w:history="1">
            <w:r w:rsidRPr="0050092A">
              <w:rPr>
                <w:rStyle w:val="Hyperlink"/>
              </w:rPr>
              <w:t>Phase III:  Goal-Setting and Recommendations</w:t>
            </w:r>
            <w:r>
              <w:rPr>
                <w:webHidden/>
              </w:rPr>
              <w:tab/>
            </w:r>
            <w:r>
              <w:rPr>
                <w:webHidden/>
              </w:rPr>
              <w:fldChar w:fldCharType="begin"/>
            </w:r>
            <w:r>
              <w:rPr>
                <w:webHidden/>
              </w:rPr>
              <w:instrText xml:space="preserve"> PAGEREF _Toc194931551 \h </w:instrText>
            </w:r>
            <w:r>
              <w:rPr>
                <w:webHidden/>
              </w:rPr>
            </w:r>
            <w:r>
              <w:rPr>
                <w:webHidden/>
              </w:rPr>
              <w:fldChar w:fldCharType="separate"/>
            </w:r>
            <w:r>
              <w:rPr>
                <w:webHidden/>
              </w:rPr>
              <w:t>8</w:t>
            </w:r>
            <w:r>
              <w:rPr>
                <w:webHidden/>
              </w:rPr>
              <w:fldChar w:fldCharType="end"/>
            </w:r>
          </w:hyperlink>
        </w:p>
        <w:p w14:paraId="573565F8" w14:textId="428DE9C5" w:rsidR="00635A4C" w:rsidRDefault="00635A4C">
          <w:pPr>
            <w:pStyle w:val="TOC1"/>
            <w:rPr>
              <w:rFonts w:eastAsiaTheme="minorEastAsia" w:cstheme="minorBidi"/>
              <w:b w:val="0"/>
              <w:bCs w:val="0"/>
              <w:kern w:val="2"/>
              <w14:ligatures w14:val="standardContextual"/>
            </w:rPr>
          </w:pPr>
          <w:hyperlink w:anchor="_Toc194931552" w:history="1">
            <w:r w:rsidRPr="0050092A">
              <w:rPr>
                <w:rStyle w:val="Hyperlink"/>
              </w:rPr>
              <w:t>College Profile</w:t>
            </w:r>
            <w:r>
              <w:rPr>
                <w:webHidden/>
              </w:rPr>
              <w:tab/>
            </w:r>
            <w:r>
              <w:rPr>
                <w:webHidden/>
              </w:rPr>
              <w:fldChar w:fldCharType="begin"/>
            </w:r>
            <w:r>
              <w:rPr>
                <w:webHidden/>
              </w:rPr>
              <w:instrText xml:space="preserve"> PAGEREF _Toc194931552 \h </w:instrText>
            </w:r>
            <w:r>
              <w:rPr>
                <w:webHidden/>
              </w:rPr>
            </w:r>
            <w:r>
              <w:rPr>
                <w:webHidden/>
              </w:rPr>
              <w:fldChar w:fldCharType="separate"/>
            </w:r>
            <w:r>
              <w:rPr>
                <w:webHidden/>
              </w:rPr>
              <w:t>9</w:t>
            </w:r>
            <w:r>
              <w:rPr>
                <w:webHidden/>
              </w:rPr>
              <w:fldChar w:fldCharType="end"/>
            </w:r>
          </w:hyperlink>
        </w:p>
        <w:p w14:paraId="3695C5CB" w14:textId="455B69F4" w:rsidR="00635A4C" w:rsidRDefault="00635A4C">
          <w:pPr>
            <w:pStyle w:val="TOC2"/>
            <w:rPr>
              <w:rFonts w:asciiTheme="minorHAnsi" w:eastAsiaTheme="minorEastAsia" w:hAnsiTheme="minorHAnsi" w:cstheme="minorBidi"/>
              <w:kern w:val="2"/>
              <w:sz w:val="24"/>
              <w:szCs w:val="24"/>
              <w14:ligatures w14:val="standardContextual"/>
            </w:rPr>
          </w:pPr>
          <w:hyperlink w:anchor="_Toc194931553" w:history="1">
            <w:r w:rsidRPr="0050092A">
              <w:rPr>
                <w:rStyle w:val="Hyperlink"/>
              </w:rPr>
              <w:t>History</w:t>
            </w:r>
            <w:r>
              <w:rPr>
                <w:webHidden/>
              </w:rPr>
              <w:tab/>
            </w:r>
            <w:r>
              <w:rPr>
                <w:webHidden/>
              </w:rPr>
              <w:fldChar w:fldCharType="begin"/>
            </w:r>
            <w:r>
              <w:rPr>
                <w:webHidden/>
              </w:rPr>
              <w:instrText xml:space="preserve"> PAGEREF _Toc194931553 \h </w:instrText>
            </w:r>
            <w:r>
              <w:rPr>
                <w:webHidden/>
              </w:rPr>
            </w:r>
            <w:r>
              <w:rPr>
                <w:webHidden/>
              </w:rPr>
              <w:fldChar w:fldCharType="separate"/>
            </w:r>
            <w:r>
              <w:rPr>
                <w:webHidden/>
              </w:rPr>
              <w:t>9</w:t>
            </w:r>
            <w:r>
              <w:rPr>
                <w:webHidden/>
              </w:rPr>
              <w:fldChar w:fldCharType="end"/>
            </w:r>
          </w:hyperlink>
        </w:p>
        <w:p w14:paraId="2AD1C966" w14:textId="0F510381" w:rsidR="00635A4C" w:rsidRDefault="00635A4C">
          <w:pPr>
            <w:pStyle w:val="TOC2"/>
            <w:rPr>
              <w:rFonts w:asciiTheme="minorHAnsi" w:eastAsiaTheme="minorEastAsia" w:hAnsiTheme="minorHAnsi" w:cstheme="minorBidi"/>
              <w:kern w:val="2"/>
              <w:sz w:val="24"/>
              <w:szCs w:val="24"/>
              <w14:ligatures w14:val="standardContextual"/>
            </w:rPr>
          </w:pPr>
          <w:hyperlink w:anchor="_Toc194931554" w:history="1">
            <w:r w:rsidRPr="0050092A">
              <w:rPr>
                <w:rStyle w:val="Hyperlink"/>
              </w:rPr>
              <w:t>Mission</w:t>
            </w:r>
            <w:r>
              <w:rPr>
                <w:webHidden/>
              </w:rPr>
              <w:tab/>
            </w:r>
            <w:r>
              <w:rPr>
                <w:webHidden/>
              </w:rPr>
              <w:fldChar w:fldCharType="begin"/>
            </w:r>
            <w:r>
              <w:rPr>
                <w:webHidden/>
              </w:rPr>
              <w:instrText xml:space="preserve"> PAGEREF _Toc194931554 \h </w:instrText>
            </w:r>
            <w:r>
              <w:rPr>
                <w:webHidden/>
              </w:rPr>
            </w:r>
            <w:r>
              <w:rPr>
                <w:webHidden/>
              </w:rPr>
              <w:fldChar w:fldCharType="separate"/>
            </w:r>
            <w:r>
              <w:rPr>
                <w:webHidden/>
              </w:rPr>
              <w:t>10</w:t>
            </w:r>
            <w:r>
              <w:rPr>
                <w:webHidden/>
              </w:rPr>
              <w:fldChar w:fldCharType="end"/>
            </w:r>
          </w:hyperlink>
        </w:p>
        <w:p w14:paraId="4D2820ED" w14:textId="4F439E75" w:rsidR="00635A4C" w:rsidRDefault="00635A4C">
          <w:pPr>
            <w:pStyle w:val="TOC2"/>
            <w:rPr>
              <w:rFonts w:asciiTheme="minorHAnsi" w:eastAsiaTheme="minorEastAsia" w:hAnsiTheme="minorHAnsi" w:cstheme="minorBidi"/>
              <w:kern w:val="2"/>
              <w:sz w:val="24"/>
              <w:szCs w:val="24"/>
              <w14:ligatures w14:val="standardContextual"/>
            </w:rPr>
          </w:pPr>
          <w:hyperlink w:anchor="_Toc194931555" w:history="1">
            <w:r w:rsidRPr="0050092A">
              <w:rPr>
                <w:rStyle w:val="Hyperlink"/>
              </w:rPr>
              <w:t>Vision</w:t>
            </w:r>
            <w:r>
              <w:rPr>
                <w:webHidden/>
              </w:rPr>
              <w:tab/>
            </w:r>
            <w:r>
              <w:rPr>
                <w:webHidden/>
              </w:rPr>
              <w:fldChar w:fldCharType="begin"/>
            </w:r>
            <w:r>
              <w:rPr>
                <w:webHidden/>
              </w:rPr>
              <w:instrText xml:space="preserve"> PAGEREF _Toc194931555 \h </w:instrText>
            </w:r>
            <w:r>
              <w:rPr>
                <w:webHidden/>
              </w:rPr>
            </w:r>
            <w:r>
              <w:rPr>
                <w:webHidden/>
              </w:rPr>
              <w:fldChar w:fldCharType="separate"/>
            </w:r>
            <w:r>
              <w:rPr>
                <w:webHidden/>
              </w:rPr>
              <w:t>10</w:t>
            </w:r>
            <w:r>
              <w:rPr>
                <w:webHidden/>
              </w:rPr>
              <w:fldChar w:fldCharType="end"/>
            </w:r>
          </w:hyperlink>
        </w:p>
        <w:p w14:paraId="1783F9E5" w14:textId="1ADE4D43" w:rsidR="00635A4C" w:rsidRDefault="00635A4C">
          <w:pPr>
            <w:pStyle w:val="TOC2"/>
            <w:rPr>
              <w:rFonts w:asciiTheme="minorHAnsi" w:eastAsiaTheme="minorEastAsia" w:hAnsiTheme="minorHAnsi" w:cstheme="minorBidi"/>
              <w:kern w:val="2"/>
              <w:sz w:val="24"/>
              <w:szCs w:val="24"/>
              <w14:ligatures w14:val="standardContextual"/>
            </w:rPr>
          </w:pPr>
          <w:hyperlink w:anchor="_Toc194931556" w:history="1">
            <w:r w:rsidRPr="0050092A">
              <w:rPr>
                <w:rStyle w:val="Hyperlink"/>
              </w:rPr>
              <w:t>Values</w:t>
            </w:r>
            <w:r>
              <w:rPr>
                <w:webHidden/>
              </w:rPr>
              <w:tab/>
            </w:r>
            <w:r>
              <w:rPr>
                <w:webHidden/>
              </w:rPr>
              <w:fldChar w:fldCharType="begin"/>
            </w:r>
            <w:r>
              <w:rPr>
                <w:webHidden/>
              </w:rPr>
              <w:instrText xml:space="preserve"> PAGEREF _Toc194931556 \h </w:instrText>
            </w:r>
            <w:r>
              <w:rPr>
                <w:webHidden/>
              </w:rPr>
            </w:r>
            <w:r>
              <w:rPr>
                <w:webHidden/>
              </w:rPr>
              <w:fldChar w:fldCharType="separate"/>
            </w:r>
            <w:r>
              <w:rPr>
                <w:webHidden/>
              </w:rPr>
              <w:t>10</w:t>
            </w:r>
            <w:r>
              <w:rPr>
                <w:webHidden/>
              </w:rPr>
              <w:fldChar w:fldCharType="end"/>
            </w:r>
          </w:hyperlink>
        </w:p>
        <w:p w14:paraId="3D1678D8" w14:textId="26C71F55" w:rsidR="00635A4C" w:rsidRDefault="00635A4C">
          <w:pPr>
            <w:pStyle w:val="TOC2"/>
            <w:rPr>
              <w:rFonts w:asciiTheme="minorHAnsi" w:eastAsiaTheme="minorEastAsia" w:hAnsiTheme="minorHAnsi" w:cstheme="minorBidi"/>
              <w:kern w:val="2"/>
              <w:sz w:val="24"/>
              <w:szCs w:val="24"/>
              <w14:ligatures w14:val="standardContextual"/>
            </w:rPr>
          </w:pPr>
          <w:hyperlink w:anchor="_Toc194931557" w:history="1">
            <w:r w:rsidRPr="0050092A">
              <w:rPr>
                <w:rStyle w:val="Hyperlink"/>
              </w:rPr>
              <w:t>Native Land Acknowledgement</w:t>
            </w:r>
            <w:r>
              <w:rPr>
                <w:webHidden/>
              </w:rPr>
              <w:tab/>
            </w:r>
            <w:r>
              <w:rPr>
                <w:webHidden/>
              </w:rPr>
              <w:fldChar w:fldCharType="begin"/>
            </w:r>
            <w:r>
              <w:rPr>
                <w:webHidden/>
              </w:rPr>
              <w:instrText xml:space="preserve"> PAGEREF _Toc194931557 \h </w:instrText>
            </w:r>
            <w:r>
              <w:rPr>
                <w:webHidden/>
              </w:rPr>
            </w:r>
            <w:r>
              <w:rPr>
                <w:webHidden/>
              </w:rPr>
              <w:fldChar w:fldCharType="separate"/>
            </w:r>
            <w:r>
              <w:rPr>
                <w:webHidden/>
              </w:rPr>
              <w:t>10</w:t>
            </w:r>
            <w:r>
              <w:rPr>
                <w:webHidden/>
              </w:rPr>
              <w:fldChar w:fldCharType="end"/>
            </w:r>
          </w:hyperlink>
        </w:p>
        <w:p w14:paraId="2226C838" w14:textId="1D8FE214" w:rsidR="00635A4C" w:rsidRDefault="00635A4C">
          <w:pPr>
            <w:pStyle w:val="TOC2"/>
            <w:rPr>
              <w:rFonts w:asciiTheme="minorHAnsi" w:eastAsiaTheme="minorEastAsia" w:hAnsiTheme="minorHAnsi" w:cstheme="minorBidi"/>
              <w:kern w:val="2"/>
              <w:sz w:val="24"/>
              <w:szCs w:val="24"/>
              <w14:ligatures w14:val="standardContextual"/>
            </w:rPr>
          </w:pPr>
          <w:hyperlink w:anchor="_Toc194931558" w:history="1">
            <w:r w:rsidRPr="0050092A">
              <w:rPr>
                <w:rStyle w:val="Hyperlink"/>
              </w:rPr>
              <w:t>Distinctive Partnerships</w:t>
            </w:r>
            <w:r>
              <w:rPr>
                <w:webHidden/>
              </w:rPr>
              <w:tab/>
            </w:r>
            <w:r>
              <w:rPr>
                <w:webHidden/>
              </w:rPr>
              <w:fldChar w:fldCharType="begin"/>
            </w:r>
            <w:r>
              <w:rPr>
                <w:webHidden/>
              </w:rPr>
              <w:instrText xml:space="preserve"> PAGEREF _Toc194931558 \h </w:instrText>
            </w:r>
            <w:r>
              <w:rPr>
                <w:webHidden/>
              </w:rPr>
            </w:r>
            <w:r>
              <w:rPr>
                <w:webHidden/>
              </w:rPr>
              <w:fldChar w:fldCharType="separate"/>
            </w:r>
            <w:r>
              <w:rPr>
                <w:webHidden/>
              </w:rPr>
              <w:t>11</w:t>
            </w:r>
            <w:r>
              <w:rPr>
                <w:webHidden/>
              </w:rPr>
              <w:fldChar w:fldCharType="end"/>
            </w:r>
          </w:hyperlink>
        </w:p>
        <w:p w14:paraId="44DBC657" w14:textId="75A519C5" w:rsidR="00635A4C" w:rsidRDefault="00635A4C">
          <w:pPr>
            <w:pStyle w:val="TOC2"/>
            <w:rPr>
              <w:rFonts w:asciiTheme="minorHAnsi" w:eastAsiaTheme="minorEastAsia" w:hAnsiTheme="minorHAnsi" w:cstheme="minorBidi"/>
              <w:kern w:val="2"/>
              <w:sz w:val="24"/>
              <w:szCs w:val="24"/>
              <w14:ligatures w14:val="standardContextual"/>
            </w:rPr>
          </w:pPr>
          <w:hyperlink w:anchor="_Toc194931559" w:history="1">
            <w:r w:rsidRPr="0050092A">
              <w:rPr>
                <w:rStyle w:val="Hyperlink"/>
              </w:rPr>
              <w:t>College Fast Facts</w:t>
            </w:r>
            <w:r>
              <w:rPr>
                <w:webHidden/>
              </w:rPr>
              <w:tab/>
            </w:r>
            <w:r>
              <w:rPr>
                <w:webHidden/>
              </w:rPr>
              <w:fldChar w:fldCharType="begin"/>
            </w:r>
            <w:r>
              <w:rPr>
                <w:webHidden/>
              </w:rPr>
              <w:instrText xml:space="preserve"> PAGEREF _Toc194931559 \h </w:instrText>
            </w:r>
            <w:r>
              <w:rPr>
                <w:webHidden/>
              </w:rPr>
            </w:r>
            <w:r>
              <w:rPr>
                <w:webHidden/>
              </w:rPr>
              <w:fldChar w:fldCharType="separate"/>
            </w:r>
            <w:r>
              <w:rPr>
                <w:webHidden/>
              </w:rPr>
              <w:t>11</w:t>
            </w:r>
            <w:r>
              <w:rPr>
                <w:webHidden/>
              </w:rPr>
              <w:fldChar w:fldCharType="end"/>
            </w:r>
          </w:hyperlink>
        </w:p>
        <w:p w14:paraId="3E54C1B6" w14:textId="6BC3C1E1" w:rsidR="00635A4C" w:rsidRDefault="00635A4C">
          <w:pPr>
            <w:pStyle w:val="TOC2"/>
            <w:rPr>
              <w:rFonts w:asciiTheme="minorHAnsi" w:eastAsiaTheme="minorEastAsia" w:hAnsiTheme="minorHAnsi" w:cstheme="minorBidi"/>
              <w:kern w:val="2"/>
              <w:sz w:val="24"/>
              <w:szCs w:val="24"/>
              <w14:ligatures w14:val="standardContextual"/>
            </w:rPr>
          </w:pPr>
          <w:hyperlink w:anchor="_Toc194931560" w:history="1">
            <w:r w:rsidRPr="0050092A">
              <w:rPr>
                <w:rStyle w:val="Hyperlink"/>
              </w:rPr>
              <w:t>Taft College Community, Student, and Outcomes Summary Data</w:t>
            </w:r>
            <w:r>
              <w:rPr>
                <w:webHidden/>
              </w:rPr>
              <w:tab/>
            </w:r>
            <w:r>
              <w:rPr>
                <w:webHidden/>
              </w:rPr>
              <w:fldChar w:fldCharType="begin"/>
            </w:r>
            <w:r>
              <w:rPr>
                <w:webHidden/>
              </w:rPr>
              <w:instrText xml:space="preserve"> PAGEREF _Toc194931560 \h </w:instrText>
            </w:r>
            <w:r>
              <w:rPr>
                <w:webHidden/>
              </w:rPr>
            </w:r>
            <w:r>
              <w:rPr>
                <w:webHidden/>
              </w:rPr>
              <w:fldChar w:fldCharType="separate"/>
            </w:r>
            <w:r>
              <w:rPr>
                <w:webHidden/>
              </w:rPr>
              <w:t>12</w:t>
            </w:r>
            <w:r>
              <w:rPr>
                <w:webHidden/>
              </w:rPr>
              <w:fldChar w:fldCharType="end"/>
            </w:r>
          </w:hyperlink>
        </w:p>
        <w:p w14:paraId="54982F3E" w14:textId="7CD51B46" w:rsidR="00635A4C" w:rsidRDefault="00635A4C">
          <w:pPr>
            <w:pStyle w:val="TOC1"/>
            <w:rPr>
              <w:rFonts w:eastAsiaTheme="minorEastAsia" w:cstheme="minorBidi"/>
              <w:b w:val="0"/>
              <w:bCs w:val="0"/>
              <w:kern w:val="2"/>
              <w14:ligatures w14:val="standardContextual"/>
            </w:rPr>
          </w:pPr>
          <w:hyperlink w:anchor="_Toc194931561" w:history="1">
            <w:r w:rsidRPr="0050092A">
              <w:rPr>
                <w:rStyle w:val="Hyperlink"/>
              </w:rPr>
              <w:t>State Context</w:t>
            </w:r>
            <w:r>
              <w:rPr>
                <w:webHidden/>
              </w:rPr>
              <w:tab/>
            </w:r>
            <w:r>
              <w:rPr>
                <w:webHidden/>
              </w:rPr>
              <w:fldChar w:fldCharType="begin"/>
            </w:r>
            <w:r>
              <w:rPr>
                <w:webHidden/>
              </w:rPr>
              <w:instrText xml:space="preserve"> PAGEREF _Toc194931561 \h </w:instrText>
            </w:r>
            <w:r>
              <w:rPr>
                <w:webHidden/>
              </w:rPr>
            </w:r>
            <w:r>
              <w:rPr>
                <w:webHidden/>
              </w:rPr>
              <w:fldChar w:fldCharType="separate"/>
            </w:r>
            <w:r>
              <w:rPr>
                <w:webHidden/>
              </w:rPr>
              <w:t>13</w:t>
            </w:r>
            <w:r>
              <w:rPr>
                <w:webHidden/>
              </w:rPr>
              <w:fldChar w:fldCharType="end"/>
            </w:r>
          </w:hyperlink>
        </w:p>
        <w:p w14:paraId="6D594C57" w14:textId="6DB4EE77" w:rsidR="00635A4C" w:rsidRDefault="00635A4C">
          <w:pPr>
            <w:pStyle w:val="TOC2"/>
            <w:rPr>
              <w:rFonts w:asciiTheme="minorHAnsi" w:eastAsiaTheme="minorEastAsia" w:hAnsiTheme="minorHAnsi" w:cstheme="minorBidi"/>
              <w:kern w:val="2"/>
              <w:sz w:val="24"/>
              <w:szCs w:val="24"/>
              <w14:ligatures w14:val="standardContextual"/>
            </w:rPr>
          </w:pPr>
          <w:hyperlink w:anchor="_Toc194931562" w:history="1">
            <w:r w:rsidRPr="0050092A">
              <w:rPr>
                <w:rStyle w:val="Hyperlink"/>
              </w:rPr>
              <w:t>Role of California Community Colleges: Meeting the Needs of Students, Communities, and Workforce Development</w:t>
            </w:r>
            <w:r>
              <w:rPr>
                <w:webHidden/>
              </w:rPr>
              <w:tab/>
            </w:r>
            <w:r>
              <w:rPr>
                <w:webHidden/>
              </w:rPr>
              <w:fldChar w:fldCharType="begin"/>
            </w:r>
            <w:r>
              <w:rPr>
                <w:webHidden/>
              </w:rPr>
              <w:instrText xml:space="preserve"> PAGEREF _Toc194931562 \h </w:instrText>
            </w:r>
            <w:r>
              <w:rPr>
                <w:webHidden/>
              </w:rPr>
            </w:r>
            <w:r>
              <w:rPr>
                <w:webHidden/>
              </w:rPr>
              <w:fldChar w:fldCharType="separate"/>
            </w:r>
            <w:r>
              <w:rPr>
                <w:webHidden/>
              </w:rPr>
              <w:t>13</w:t>
            </w:r>
            <w:r>
              <w:rPr>
                <w:webHidden/>
              </w:rPr>
              <w:fldChar w:fldCharType="end"/>
            </w:r>
          </w:hyperlink>
        </w:p>
        <w:p w14:paraId="15D29840" w14:textId="0DB53386" w:rsidR="00635A4C" w:rsidRDefault="00635A4C">
          <w:pPr>
            <w:pStyle w:val="TOC2"/>
            <w:rPr>
              <w:rFonts w:asciiTheme="minorHAnsi" w:eastAsiaTheme="minorEastAsia" w:hAnsiTheme="minorHAnsi" w:cstheme="minorBidi"/>
              <w:kern w:val="2"/>
              <w:sz w:val="24"/>
              <w:szCs w:val="24"/>
              <w14:ligatures w14:val="standardContextual"/>
            </w:rPr>
          </w:pPr>
          <w:hyperlink w:anchor="_Toc194931563" w:history="1">
            <w:r w:rsidRPr="0050092A">
              <w:rPr>
                <w:rStyle w:val="Hyperlink"/>
              </w:rPr>
              <w:t>Participation in Local Decision-Making (AB 1725)</w:t>
            </w:r>
            <w:r>
              <w:rPr>
                <w:webHidden/>
              </w:rPr>
              <w:tab/>
            </w:r>
            <w:r>
              <w:rPr>
                <w:webHidden/>
              </w:rPr>
              <w:fldChar w:fldCharType="begin"/>
            </w:r>
            <w:r>
              <w:rPr>
                <w:webHidden/>
              </w:rPr>
              <w:instrText xml:space="preserve"> PAGEREF _Toc194931563 \h </w:instrText>
            </w:r>
            <w:r>
              <w:rPr>
                <w:webHidden/>
              </w:rPr>
            </w:r>
            <w:r>
              <w:rPr>
                <w:webHidden/>
              </w:rPr>
              <w:fldChar w:fldCharType="separate"/>
            </w:r>
            <w:r>
              <w:rPr>
                <w:webHidden/>
              </w:rPr>
              <w:t>13</w:t>
            </w:r>
            <w:r>
              <w:rPr>
                <w:webHidden/>
              </w:rPr>
              <w:fldChar w:fldCharType="end"/>
            </w:r>
          </w:hyperlink>
        </w:p>
        <w:p w14:paraId="4B277F6E" w14:textId="5F9C265E" w:rsidR="00635A4C" w:rsidRDefault="00635A4C">
          <w:pPr>
            <w:pStyle w:val="TOC2"/>
            <w:rPr>
              <w:rFonts w:asciiTheme="minorHAnsi" w:eastAsiaTheme="minorEastAsia" w:hAnsiTheme="minorHAnsi" w:cstheme="minorBidi"/>
              <w:kern w:val="2"/>
              <w:sz w:val="24"/>
              <w:szCs w:val="24"/>
              <w14:ligatures w14:val="standardContextual"/>
            </w:rPr>
          </w:pPr>
          <w:hyperlink w:anchor="_Toc194931564" w:history="1">
            <w:r w:rsidRPr="0050092A">
              <w:rPr>
                <w:rStyle w:val="Hyperlink"/>
              </w:rPr>
              <w:t>Vision 2030 Foundations</w:t>
            </w:r>
            <w:r>
              <w:rPr>
                <w:webHidden/>
              </w:rPr>
              <w:tab/>
            </w:r>
            <w:r>
              <w:rPr>
                <w:webHidden/>
              </w:rPr>
              <w:fldChar w:fldCharType="begin"/>
            </w:r>
            <w:r>
              <w:rPr>
                <w:webHidden/>
              </w:rPr>
              <w:instrText xml:space="preserve"> PAGEREF _Toc194931564 \h </w:instrText>
            </w:r>
            <w:r>
              <w:rPr>
                <w:webHidden/>
              </w:rPr>
            </w:r>
            <w:r>
              <w:rPr>
                <w:webHidden/>
              </w:rPr>
              <w:fldChar w:fldCharType="separate"/>
            </w:r>
            <w:r>
              <w:rPr>
                <w:webHidden/>
              </w:rPr>
              <w:t>13</w:t>
            </w:r>
            <w:r>
              <w:rPr>
                <w:webHidden/>
              </w:rPr>
              <w:fldChar w:fldCharType="end"/>
            </w:r>
          </w:hyperlink>
        </w:p>
        <w:p w14:paraId="455070EF" w14:textId="48E48BF2" w:rsidR="00635A4C" w:rsidRDefault="00635A4C">
          <w:pPr>
            <w:pStyle w:val="TOC2"/>
            <w:rPr>
              <w:rFonts w:asciiTheme="minorHAnsi" w:eastAsiaTheme="minorEastAsia" w:hAnsiTheme="minorHAnsi" w:cstheme="minorBidi"/>
              <w:kern w:val="2"/>
              <w:sz w:val="24"/>
              <w:szCs w:val="24"/>
              <w14:ligatures w14:val="standardContextual"/>
            </w:rPr>
          </w:pPr>
          <w:hyperlink w:anchor="_Toc194931565" w:history="1">
            <w:r w:rsidRPr="0050092A">
              <w:rPr>
                <w:rStyle w:val="Hyperlink"/>
              </w:rPr>
              <w:t>New State Initiatives</w:t>
            </w:r>
            <w:r>
              <w:rPr>
                <w:webHidden/>
              </w:rPr>
              <w:tab/>
            </w:r>
            <w:r>
              <w:rPr>
                <w:webHidden/>
              </w:rPr>
              <w:fldChar w:fldCharType="begin"/>
            </w:r>
            <w:r>
              <w:rPr>
                <w:webHidden/>
              </w:rPr>
              <w:instrText xml:space="preserve"> PAGEREF _Toc194931565 \h </w:instrText>
            </w:r>
            <w:r>
              <w:rPr>
                <w:webHidden/>
              </w:rPr>
            </w:r>
            <w:r>
              <w:rPr>
                <w:webHidden/>
              </w:rPr>
              <w:fldChar w:fldCharType="separate"/>
            </w:r>
            <w:r>
              <w:rPr>
                <w:webHidden/>
              </w:rPr>
              <w:t>15</w:t>
            </w:r>
            <w:r>
              <w:rPr>
                <w:webHidden/>
              </w:rPr>
              <w:fldChar w:fldCharType="end"/>
            </w:r>
          </w:hyperlink>
        </w:p>
        <w:p w14:paraId="3A094FB9" w14:textId="2B206C7C" w:rsidR="00635A4C" w:rsidRDefault="00635A4C">
          <w:pPr>
            <w:pStyle w:val="TOC1"/>
            <w:rPr>
              <w:rFonts w:eastAsiaTheme="minorEastAsia" w:cstheme="minorBidi"/>
              <w:b w:val="0"/>
              <w:bCs w:val="0"/>
              <w:kern w:val="2"/>
              <w14:ligatures w14:val="standardContextual"/>
            </w:rPr>
          </w:pPr>
          <w:hyperlink w:anchor="_Toc194931566" w:history="1">
            <w:r w:rsidRPr="0050092A">
              <w:rPr>
                <w:rStyle w:val="Hyperlink"/>
              </w:rPr>
              <w:t>Taft College Planning</w:t>
            </w:r>
            <w:r>
              <w:rPr>
                <w:webHidden/>
              </w:rPr>
              <w:tab/>
            </w:r>
            <w:r>
              <w:rPr>
                <w:webHidden/>
              </w:rPr>
              <w:fldChar w:fldCharType="begin"/>
            </w:r>
            <w:r>
              <w:rPr>
                <w:webHidden/>
              </w:rPr>
              <w:instrText xml:space="preserve"> PAGEREF _Toc194931566 \h </w:instrText>
            </w:r>
            <w:r>
              <w:rPr>
                <w:webHidden/>
              </w:rPr>
            </w:r>
            <w:r>
              <w:rPr>
                <w:webHidden/>
              </w:rPr>
              <w:fldChar w:fldCharType="separate"/>
            </w:r>
            <w:r>
              <w:rPr>
                <w:webHidden/>
              </w:rPr>
              <w:t>15</w:t>
            </w:r>
            <w:r>
              <w:rPr>
                <w:webHidden/>
              </w:rPr>
              <w:fldChar w:fldCharType="end"/>
            </w:r>
          </w:hyperlink>
        </w:p>
        <w:p w14:paraId="12445050" w14:textId="15A262C9" w:rsidR="00635A4C" w:rsidRDefault="00635A4C">
          <w:pPr>
            <w:pStyle w:val="TOC2"/>
            <w:rPr>
              <w:rFonts w:asciiTheme="minorHAnsi" w:eastAsiaTheme="minorEastAsia" w:hAnsiTheme="minorHAnsi" w:cstheme="minorBidi"/>
              <w:kern w:val="2"/>
              <w:sz w:val="24"/>
              <w:szCs w:val="24"/>
              <w14:ligatures w14:val="standardContextual"/>
            </w:rPr>
          </w:pPr>
          <w:hyperlink w:anchor="_Toc194931567" w:history="1">
            <w:r w:rsidRPr="0050092A">
              <w:rPr>
                <w:rStyle w:val="Hyperlink"/>
              </w:rPr>
              <w:t>Integrated Planning</w:t>
            </w:r>
            <w:r>
              <w:rPr>
                <w:webHidden/>
              </w:rPr>
              <w:tab/>
            </w:r>
            <w:r>
              <w:rPr>
                <w:webHidden/>
              </w:rPr>
              <w:fldChar w:fldCharType="begin"/>
            </w:r>
            <w:r>
              <w:rPr>
                <w:webHidden/>
              </w:rPr>
              <w:instrText xml:space="preserve"> PAGEREF _Toc194931567 \h </w:instrText>
            </w:r>
            <w:r>
              <w:rPr>
                <w:webHidden/>
              </w:rPr>
            </w:r>
            <w:r>
              <w:rPr>
                <w:webHidden/>
              </w:rPr>
              <w:fldChar w:fldCharType="separate"/>
            </w:r>
            <w:r>
              <w:rPr>
                <w:webHidden/>
              </w:rPr>
              <w:t>15</w:t>
            </w:r>
            <w:r>
              <w:rPr>
                <w:webHidden/>
              </w:rPr>
              <w:fldChar w:fldCharType="end"/>
            </w:r>
          </w:hyperlink>
        </w:p>
        <w:p w14:paraId="61C9DA50" w14:textId="26E781E1" w:rsidR="00635A4C" w:rsidRDefault="00635A4C">
          <w:pPr>
            <w:pStyle w:val="TOC2"/>
            <w:rPr>
              <w:rFonts w:asciiTheme="minorHAnsi" w:eastAsiaTheme="minorEastAsia" w:hAnsiTheme="minorHAnsi" w:cstheme="minorBidi"/>
              <w:kern w:val="2"/>
              <w:sz w:val="24"/>
              <w:szCs w:val="24"/>
              <w14:ligatures w14:val="standardContextual"/>
            </w:rPr>
          </w:pPr>
          <w:hyperlink w:anchor="_Toc194931568" w:history="1">
            <w:r w:rsidRPr="0050092A">
              <w:rPr>
                <w:rStyle w:val="Hyperlink"/>
              </w:rPr>
              <w:t>Program Review Process</w:t>
            </w:r>
            <w:r>
              <w:rPr>
                <w:webHidden/>
              </w:rPr>
              <w:tab/>
            </w:r>
            <w:r>
              <w:rPr>
                <w:webHidden/>
              </w:rPr>
              <w:fldChar w:fldCharType="begin"/>
            </w:r>
            <w:r>
              <w:rPr>
                <w:webHidden/>
              </w:rPr>
              <w:instrText xml:space="preserve"> PAGEREF _Toc194931568 \h </w:instrText>
            </w:r>
            <w:r>
              <w:rPr>
                <w:webHidden/>
              </w:rPr>
            </w:r>
            <w:r>
              <w:rPr>
                <w:webHidden/>
              </w:rPr>
              <w:fldChar w:fldCharType="separate"/>
            </w:r>
            <w:r>
              <w:rPr>
                <w:webHidden/>
              </w:rPr>
              <w:t>16</w:t>
            </w:r>
            <w:r>
              <w:rPr>
                <w:webHidden/>
              </w:rPr>
              <w:fldChar w:fldCharType="end"/>
            </w:r>
          </w:hyperlink>
        </w:p>
        <w:p w14:paraId="17C91352" w14:textId="0F1A016D" w:rsidR="00635A4C" w:rsidRDefault="00635A4C">
          <w:pPr>
            <w:pStyle w:val="TOC2"/>
            <w:rPr>
              <w:rFonts w:asciiTheme="minorHAnsi" w:eastAsiaTheme="minorEastAsia" w:hAnsiTheme="minorHAnsi" w:cstheme="minorBidi"/>
              <w:kern w:val="2"/>
              <w:sz w:val="24"/>
              <w:szCs w:val="24"/>
              <w14:ligatures w14:val="standardContextual"/>
            </w:rPr>
          </w:pPr>
          <w:hyperlink w:anchor="_Toc194931569" w:history="1">
            <w:r w:rsidRPr="0050092A">
              <w:rPr>
                <w:rStyle w:val="Hyperlink"/>
              </w:rPr>
              <w:t>Student Equity Plan</w:t>
            </w:r>
            <w:r>
              <w:rPr>
                <w:webHidden/>
              </w:rPr>
              <w:tab/>
            </w:r>
            <w:r>
              <w:rPr>
                <w:webHidden/>
              </w:rPr>
              <w:fldChar w:fldCharType="begin"/>
            </w:r>
            <w:r>
              <w:rPr>
                <w:webHidden/>
              </w:rPr>
              <w:instrText xml:space="preserve"> PAGEREF _Toc194931569 \h </w:instrText>
            </w:r>
            <w:r>
              <w:rPr>
                <w:webHidden/>
              </w:rPr>
            </w:r>
            <w:r>
              <w:rPr>
                <w:webHidden/>
              </w:rPr>
              <w:fldChar w:fldCharType="separate"/>
            </w:r>
            <w:r>
              <w:rPr>
                <w:webHidden/>
              </w:rPr>
              <w:t>18</w:t>
            </w:r>
            <w:r>
              <w:rPr>
                <w:webHidden/>
              </w:rPr>
              <w:fldChar w:fldCharType="end"/>
            </w:r>
          </w:hyperlink>
        </w:p>
        <w:p w14:paraId="17F6E59E" w14:textId="4FFE93B1" w:rsidR="00635A4C" w:rsidRDefault="00635A4C">
          <w:pPr>
            <w:pStyle w:val="TOC2"/>
            <w:rPr>
              <w:rFonts w:asciiTheme="minorHAnsi" w:eastAsiaTheme="minorEastAsia" w:hAnsiTheme="minorHAnsi" w:cstheme="minorBidi"/>
              <w:kern w:val="2"/>
              <w:sz w:val="24"/>
              <w:szCs w:val="24"/>
              <w14:ligatures w14:val="standardContextual"/>
            </w:rPr>
          </w:pPr>
          <w:hyperlink w:anchor="_Toc194931570" w:history="1">
            <w:r w:rsidRPr="0050092A">
              <w:rPr>
                <w:rStyle w:val="Hyperlink"/>
              </w:rPr>
              <w:t>Guided Pathways</w:t>
            </w:r>
            <w:r>
              <w:rPr>
                <w:webHidden/>
              </w:rPr>
              <w:tab/>
            </w:r>
            <w:r>
              <w:rPr>
                <w:webHidden/>
              </w:rPr>
              <w:fldChar w:fldCharType="begin"/>
            </w:r>
            <w:r>
              <w:rPr>
                <w:webHidden/>
              </w:rPr>
              <w:instrText xml:space="preserve"> PAGEREF _Toc194931570 \h </w:instrText>
            </w:r>
            <w:r>
              <w:rPr>
                <w:webHidden/>
              </w:rPr>
            </w:r>
            <w:r>
              <w:rPr>
                <w:webHidden/>
              </w:rPr>
              <w:fldChar w:fldCharType="separate"/>
            </w:r>
            <w:r>
              <w:rPr>
                <w:webHidden/>
              </w:rPr>
              <w:t>19</w:t>
            </w:r>
            <w:r>
              <w:rPr>
                <w:webHidden/>
              </w:rPr>
              <w:fldChar w:fldCharType="end"/>
            </w:r>
          </w:hyperlink>
        </w:p>
        <w:p w14:paraId="75D3940B" w14:textId="00F09497" w:rsidR="00635A4C" w:rsidRDefault="00635A4C">
          <w:pPr>
            <w:pStyle w:val="TOC2"/>
            <w:rPr>
              <w:rFonts w:asciiTheme="minorHAnsi" w:eastAsiaTheme="minorEastAsia" w:hAnsiTheme="minorHAnsi" w:cstheme="minorBidi"/>
              <w:kern w:val="2"/>
              <w:sz w:val="24"/>
              <w:szCs w:val="24"/>
              <w14:ligatures w14:val="standardContextual"/>
            </w:rPr>
          </w:pPr>
          <w:hyperlink w:anchor="_Toc194931571" w:history="1">
            <w:r w:rsidRPr="0050092A">
              <w:rPr>
                <w:rStyle w:val="Hyperlink"/>
              </w:rPr>
              <w:t>Current Planning Efforts in Progress</w:t>
            </w:r>
            <w:r>
              <w:rPr>
                <w:webHidden/>
              </w:rPr>
              <w:tab/>
            </w:r>
            <w:r>
              <w:rPr>
                <w:webHidden/>
              </w:rPr>
              <w:fldChar w:fldCharType="begin"/>
            </w:r>
            <w:r>
              <w:rPr>
                <w:webHidden/>
              </w:rPr>
              <w:instrText xml:space="preserve"> PAGEREF _Toc194931571 \h </w:instrText>
            </w:r>
            <w:r>
              <w:rPr>
                <w:webHidden/>
              </w:rPr>
            </w:r>
            <w:r>
              <w:rPr>
                <w:webHidden/>
              </w:rPr>
              <w:fldChar w:fldCharType="separate"/>
            </w:r>
            <w:r>
              <w:rPr>
                <w:webHidden/>
              </w:rPr>
              <w:t>20</w:t>
            </w:r>
            <w:r>
              <w:rPr>
                <w:webHidden/>
              </w:rPr>
              <w:fldChar w:fldCharType="end"/>
            </w:r>
          </w:hyperlink>
        </w:p>
        <w:p w14:paraId="50E36C4C" w14:textId="15BBF0AF" w:rsidR="00635A4C" w:rsidRDefault="00635A4C">
          <w:pPr>
            <w:pStyle w:val="TOC1"/>
            <w:rPr>
              <w:rFonts w:eastAsiaTheme="minorEastAsia" w:cstheme="minorBidi"/>
              <w:b w:val="0"/>
              <w:bCs w:val="0"/>
              <w:kern w:val="2"/>
              <w14:ligatures w14:val="standardContextual"/>
            </w:rPr>
          </w:pPr>
          <w:hyperlink w:anchor="_Toc194931572" w:history="1">
            <w:r w:rsidRPr="0050092A">
              <w:rPr>
                <w:rStyle w:val="Hyperlink"/>
              </w:rPr>
              <w:t>Educational Master Plan Alignment with Other Planning Efforts</w:t>
            </w:r>
            <w:r>
              <w:rPr>
                <w:webHidden/>
              </w:rPr>
              <w:tab/>
            </w:r>
            <w:r>
              <w:rPr>
                <w:webHidden/>
              </w:rPr>
              <w:fldChar w:fldCharType="begin"/>
            </w:r>
            <w:r>
              <w:rPr>
                <w:webHidden/>
              </w:rPr>
              <w:instrText xml:space="preserve"> PAGEREF _Toc194931572 \h </w:instrText>
            </w:r>
            <w:r>
              <w:rPr>
                <w:webHidden/>
              </w:rPr>
            </w:r>
            <w:r>
              <w:rPr>
                <w:webHidden/>
              </w:rPr>
              <w:fldChar w:fldCharType="separate"/>
            </w:r>
            <w:r>
              <w:rPr>
                <w:webHidden/>
              </w:rPr>
              <w:t>20</w:t>
            </w:r>
            <w:r>
              <w:rPr>
                <w:webHidden/>
              </w:rPr>
              <w:fldChar w:fldCharType="end"/>
            </w:r>
          </w:hyperlink>
        </w:p>
        <w:p w14:paraId="3FBE74A7" w14:textId="01D7B181" w:rsidR="00635A4C" w:rsidRDefault="00635A4C">
          <w:pPr>
            <w:pStyle w:val="TOC1"/>
            <w:rPr>
              <w:rFonts w:eastAsiaTheme="minorEastAsia" w:cstheme="minorBidi"/>
              <w:b w:val="0"/>
              <w:bCs w:val="0"/>
              <w:kern w:val="2"/>
              <w14:ligatures w14:val="standardContextual"/>
            </w:rPr>
          </w:pPr>
          <w:hyperlink w:anchor="_Toc194931573" w:history="1">
            <w:r w:rsidRPr="0050092A">
              <w:rPr>
                <w:rStyle w:val="Hyperlink"/>
              </w:rPr>
              <w:t>Trends and Planning Assumptions</w:t>
            </w:r>
            <w:r>
              <w:rPr>
                <w:webHidden/>
              </w:rPr>
              <w:tab/>
            </w:r>
            <w:r>
              <w:rPr>
                <w:webHidden/>
              </w:rPr>
              <w:fldChar w:fldCharType="begin"/>
            </w:r>
            <w:r>
              <w:rPr>
                <w:webHidden/>
              </w:rPr>
              <w:instrText xml:space="preserve"> PAGEREF _Toc194931573 \h </w:instrText>
            </w:r>
            <w:r>
              <w:rPr>
                <w:webHidden/>
              </w:rPr>
            </w:r>
            <w:r>
              <w:rPr>
                <w:webHidden/>
              </w:rPr>
              <w:fldChar w:fldCharType="separate"/>
            </w:r>
            <w:r>
              <w:rPr>
                <w:webHidden/>
              </w:rPr>
              <w:t>21</w:t>
            </w:r>
            <w:r>
              <w:rPr>
                <w:webHidden/>
              </w:rPr>
              <w:fldChar w:fldCharType="end"/>
            </w:r>
          </w:hyperlink>
        </w:p>
        <w:p w14:paraId="088E0ABB" w14:textId="6546192C" w:rsidR="00635A4C" w:rsidRDefault="00635A4C">
          <w:pPr>
            <w:pStyle w:val="TOC2"/>
            <w:rPr>
              <w:rFonts w:asciiTheme="minorHAnsi" w:eastAsiaTheme="minorEastAsia" w:hAnsiTheme="minorHAnsi" w:cstheme="minorBidi"/>
              <w:kern w:val="2"/>
              <w:sz w:val="24"/>
              <w:szCs w:val="24"/>
              <w14:ligatures w14:val="standardContextual"/>
            </w:rPr>
          </w:pPr>
          <w:hyperlink w:anchor="_Toc194931574" w:history="1">
            <w:r w:rsidRPr="0050092A">
              <w:rPr>
                <w:rStyle w:val="Hyperlink"/>
              </w:rPr>
              <w:t>National Trends</w:t>
            </w:r>
            <w:r>
              <w:rPr>
                <w:webHidden/>
              </w:rPr>
              <w:tab/>
            </w:r>
            <w:r>
              <w:rPr>
                <w:webHidden/>
              </w:rPr>
              <w:fldChar w:fldCharType="begin"/>
            </w:r>
            <w:r>
              <w:rPr>
                <w:webHidden/>
              </w:rPr>
              <w:instrText xml:space="preserve"> PAGEREF _Toc194931574 \h </w:instrText>
            </w:r>
            <w:r>
              <w:rPr>
                <w:webHidden/>
              </w:rPr>
            </w:r>
            <w:r>
              <w:rPr>
                <w:webHidden/>
              </w:rPr>
              <w:fldChar w:fldCharType="separate"/>
            </w:r>
            <w:r>
              <w:rPr>
                <w:webHidden/>
              </w:rPr>
              <w:t>21</w:t>
            </w:r>
            <w:r>
              <w:rPr>
                <w:webHidden/>
              </w:rPr>
              <w:fldChar w:fldCharType="end"/>
            </w:r>
          </w:hyperlink>
        </w:p>
        <w:p w14:paraId="4C3E562A" w14:textId="2F798C8E" w:rsidR="00635A4C" w:rsidRDefault="00635A4C">
          <w:pPr>
            <w:pStyle w:val="TOC2"/>
            <w:rPr>
              <w:rFonts w:asciiTheme="minorHAnsi" w:eastAsiaTheme="minorEastAsia" w:hAnsiTheme="minorHAnsi" w:cstheme="minorBidi"/>
              <w:kern w:val="2"/>
              <w:sz w:val="24"/>
              <w:szCs w:val="24"/>
              <w14:ligatures w14:val="standardContextual"/>
            </w:rPr>
          </w:pPr>
          <w:hyperlink w:anchor="_Toc194931575" w:history="1">
            <w:r w:rsidRPr="0050092A">
              <w:rPr>
                <w:rStyle w:val="Hyperlink"/>
              </w:rPr>
              <w:t>State Trends</w:t>
            </w:r>
            <w:r>
              <w:rPr>
                <w:webHidden/>
              </w:rPr>
              <w:tab/>
            </w:r>
            <w:r>
              <w:rPr>
                <w:webHidden/>
              </w:rPr>
              <w:fldChar w:fldCharType="begin"/>
            </w:r>
            <w:r>
              <w:rPr>
                <w:webHidden/>
              </w:rPr>
              <w:instrText xml:space="preserve"> PAGEREF _Toc194931575 \h </w:instrText>
            </w:r>
            <w:r>
              <w:rPr>
                <w:webHidden/>
              </w:rPr>
            </w:r>
            <w:r>
              <w:rPr>
                <w:webHidden/>
              </w:rPr>
              <w:fldChar w:fldCharType="separate"/>
            </w:r>
            <w:r>
              <w:rPr>
                <w:webHidden/>
              </w:rPr>
              <w:t>22</w:t>
            </w:r>
            <w:r>
              <w:rPr>
                <w:webHidden/>
              </w:rPr>
              <w:fldChar w:fldCharType="end"/>
            </w:r>
          </w:hyperlink>
        </w:p>
        <w:p w14:paraId="0E7C65DF" w14:textId="7B595C67" w:rsidR="00635A4C" w:rsidRDefault="00635A4C">
          <w:pPr>
            <w:pStyle w:val="TOC2"/>
            <w:rPr>
              <w:rFonts w:asciiTheme="minorHAnsi" w:eastAsiaTheme="minorEastAsia" w:hAnsiTheme="minorHAnsi" w:cstheme="minorBidi"/>
              <w:kern w:val="2"/>
              <w:sz w:val="24"/>
              <w:szCs w:val="24"/>
              <w14:ligatures w14:val="standardContextual"/>
            </w:rPr>
          </w:pPr>
          <w:hyperlink w:anchor="_Toc194931576" w:history="1">
            <w:r w:rsidRPr="0050092A">
              <w:rPr>
                <w:rStyle w:val="Hyperlink"/>
              </w:rPr>
              <w:t>Regional Trends</w:t>
            </w:r>
            <w:r>
              <w:rPr>
                <w:webHidden/>
              </w:rPr>
              <w:tab/>
            </w:r>
            <w:r>
              <w:rPr>
                <w:webHidden/>
              </w:rPr>
              <w:fldChar w:fldCharType="begin"/>
            </w:r>
            <w:r>
              <w:rPr>
                <w:webHidden/>
              </w:rPr>
              <w:instrText xml:space="preserve"> PAGEREF _Toc194931576 \h </w:instrText>
            </w:r>
            <w:r>
              <w:rPr>
                <w:webHidden/>
              </w:rPr>
            </w:r>
            <w:r>
              <w:rPr>
                <w:webHidden/>
              </w:rPr>
              <w:fldChar w:fldCharType="separate"/>
            </w:r>
            <w:r>
              <w:rPr>
                <w:webHidden/>
              </w:rPr>
              <w:t>23</w:t>
            </w:r>
            <w:r>
              <w:rPr>
                <w:webHidden/>
              </w:rPr>
              <w:fldChar w:fldCharType="end"/>
            </w:r>
          </w:hyperlink>
        </w:p>
        <w:p w14:paraId="555CE2F8" w14:textId="326B8A15" w:rsidR="00635A4C" w:rsidRDefault="00635A4C">
          <w:pPr>
            <w:pStyle w:val="TOC2"/>
            <w:rPr>
              <w:rFonts w:asciiTheme="minorHAnsi" w:eastAsiaTheme="minorEastAsia" w:hAnsiTheme="minorHAnsi" w:cstheme="minorBidi"/>
              <w:kern w:val="2"/>
              <w:sz w:val="24"/>
              <w:szCs w:val="24"/>
              <w14:ligatures w14:val="standardContextual"/>
            </w:rPr>
          </w:pPr>
          <w:hyperlink w:anchor="_Toc194931577" w:history="1">
            <w:r w:rsidRPr="0050092A">
              <w:rPr>
                <w:rStyle w:val="Hyperlink"/>
              </w:rPr>
              <w:t>District/College Enrollment Trends and Planning Assumptions</w:t>
            </w:r>
            <w:r>
              <w:rPr>
                <w:webHidden/>
              </w:rPr>
              <w:tab/>
            </w:r>
            <w:r>
              <w:rPr>
                <w:webHidden/>
              </w:rPr>
              <w:fldChar w:fldCharType="begin"/>
            </w:r>
            <w:r>
              <w:rPr>
                <w:webHidden/>
              </w:rPr>
              <w:instrText xml:space="preserve"> PAGEREF _Toc194931577 \h </w:instrText>
            </w:r>
            <w:r>
              <w:rPr>
                <w:webHidden/>
              </w:rPr>
            </w:r>
            <w:r>
              <w:rPr>
                <w:webHidden/>
              </w:rPr>
              <w:fldChar w:fldCharType="separate"/>
            </w:r>
            <w:r>
              <w:rPr>
                <w:webHidden/>
              </w:rPr>
              <w:t>24</w:t>
            </w:r>
            <w:r>
              <w:rPr>
                <w:webHidden/>
              </w:rPr>
              <w:fldChar w:fldCharType="end"/>
            </w:r>
          </w:hyperlink>
        </w:p>
        <w:p w14:paraId="677C1E75" w14:textId="687BCB8D" w:rsidR="00635A4C" w:rsidRDefault="00635A4C">
          <w:pPr>
            <w:pStyle w:val="TOC1"/>
            <w:rPr>
              <w:rFonts w:eastAsiaTheme="minorEastAsia" w:cstheme="minorBidi"/>
              <w:b w:val="0"/>
              <w:bCs w:val="0"/>
              <w:kern w:val="2"/>
              <w14:ligatures w14:val="standardContextual"/>
            </w:rPr>
          </w:pPr>
          <w:hyperlink w:anchor="_Toc194931578" w:history="1">
            <w:r w:rsidRPr="0050092A">
              <w:rPr>
                <w:rStyle w:val="Hyperlink"/>
              </w:rPr>
              <w:t>Educational Master Plan Framework and Educational Master Plan Goals and Objectives</w:t>
            </w:r>
            <w:r>
              <w:rPr>
                <w:webHidden/>
              </w:rPr>
              <w:tab/>
            </w:r>
            <w:r>
              <w:rPr>
                <w:webHidden/>
              </w:rPr>
              <w:fldChar w:fldCharType="begin"/>
            </w:r>
            <w:r>
              <w:rPr>
                <w:webHidden/>
              </w:rPr>
              <w:instrText xml:space="preserve"> PAGEREF _Toc194931578 \h </w:instrText>
            </w:r>
            <w:r>
              <w:rPr>
                <w:webHidden/>
              </w:rPr>
            </w:r>
            <w:r>
              <w:rPr>
                <w:webHidden/>
              </w:rPr>
              <w:fldChar w:fldCharType="separate"/>
            </w:r>
            <w:r>
              <w:rPr>
                <w:webHidden/>
              </w:rPr>
              <w:t>26</w:t>
            </w:r>
            <w:r>
              <w:rPr>
                <w:webHidden/>
              </w:rPr>
              <w:fldChar w:fldCharType="end"/>
            </w:r>
          </w:hyperlink>
        </w:p>
        <w:p w14:paraId="1FA94A98" w14:textId="6DDD8BD3" w:rsidR="00635A4C" w:rsidRDefault="00635A4C">
          <w:pPr>
            <w:pStyle w:val="TOC2"/>
            <w:rPr>
              <w:rFonts w:asciiTheme="minorHAnsi" w:eastAsiaTheme="minorEastAsia" w:hAnsiTheme="minorHAnsi" w:cstheme="minorBidi"/>
              <w:kern w:val="2"/>
              <w:sz w:val="24"/>
              <w:szCs w:val="24"/>
              <w14:ligatures w14:val="standardContextual"/>
            </w:rPr>
          </w:pPr>
          <w:hyperlink w:anchor="_Toc194931579" w:history="1">
            <w:r w:rsidRPr="0050092A">
              <w:rPr>
                <w:rStyle w:val="Hyperlink"/>
              </w:rPr>
              <w:t>Goal 1:  Increase student enrollment.</w:t>
            </w:r>
            <w:r>
              <w:rPr>
                <w:webHidden/>
              </w:rPr>
              <w:tab/>
            </w:r>
            <w:r>
              <w:rPr>
                <w:webHidden/>
              </w:rPr>
              <w:fldChar w:fldCharType="begin"/>
            </w:r>
            <w:r>
              <w:rPr>
                <w:webHidden/>
              </w:rPr>
              <w:instrText xml:space="preserve"> PAGEREF _Toc194931579 \h </w:instrText>
            </w:r>
            <w:r>
              <w:rPr>
                <w:webHidden/>
              </w:rPr>
            </w:r>
            <w:r>
              <w:rPr>
                <w:webHidden/>
              </w:rPr>
              <w:fldChar w:fldCharType="separate"/>
            </w:r>
            <w:r>
              <w:rPr>
                <w:webHidden/>
              </w:rPr>
              <w:t>26</w:t>
            </w:r>
            <w:r>
              <w:rPr>
                <w:webHidden/>
              </w:rPr>
              <w:fldChar w:fldCharType="end"/>
            </w:r>
          </w:hyperlink>
        </w:p>
        <w:p w14:paraId="3C9F65C3" w14:textId="44869915" w:rsidR="00635A4C" w:rsidRDefault="00635A4C">
          <w:pPr>
            <w:pStyle w:val="TOC2"/>
            <w:rPr>
              <w:rFonts w:asciiTheme="minorHAnsi" w:eastAsiaTheme="minorEastAsia" w:hAnsiTheme="minorHAnsi" w:cstheme="minorBidi"/>
              <w:kern w:val="2"/>
              <w:sz w:val="24"/>
              <w:szCs w:val="24"/>
              <w14:ligatures w14:val="standardContextual"/>
            </w:rPr>
          </w:pPr>
          <w:hyperlink w:anchor="_Toc194931580" w:history="1">
            <w:r w:rsidRPr="0050092A">
              <w:rPr>
                <w:rStyle w:val="Hyperlink"/>
              </w:rPr>
              <w:t>Goal 2: Improve Retention and Success Rates Including Program Completion, Transfer, and Graduation</w:t>
            </w:r>
            <w:r>
              <w:rPr>
                <w:webHidden/>
              </w:rPr>
              <w:tab/>
            </w:r>
            <w:r>
              <w:rPr>
                <w:webHidden/>
              </w:rPr>
              <w:fldChar w:fldCharType="begin"/>
            </w:r>
            <w:r>
              <w:rPr>
                <w:webHidden/>
              </w:rPr>
              <w:instrText xml:space="preserve"> PAGEREF _Toc194931580 \h </w:instrText>
            </w:r>
            <w:r>
              <w:rPr>
                <w:webHidden/>
              </w:rPr>
            </w:r>
            <w:r>
              <w:rPr>
                <w:webHidden/>
              </w:rPr>
              <w:fldChar w:fldCharType="separate"/>
            </w:r>
            <w:r>
              <w:rPr>
                <w:webHidden/>
              </w:rPr>
              <w:t>26</w:t>
            </w:r>
            <w:r>
              <w:rPr>
                <w:webHidden/>
              </w:rPr>
              <w:fldChar w:fldCharType="end"/>
            </w:r>
          </w:hyperlink>
        </w:p>
        <w:p w14:paraId="4A0FBAB0" w14:textId="160AC761" w:rsidR="00635A4C" w:rsidRDefault="00635A4C">
          <w:pPr>
            <w:pStyle w:val="TOC2"/>
            <w:rPr>
              <w:rFonts w:asciiTheme="minorHAnsi" w:eastAsiaTheme="minorEastAsia" w:hAnsiTheme="minorHAnsi" w:cstheme="minorBidi"/>
              <w:kern w:val="2"/>
              <w:sz w:val="24"/>
              <w:szCs w:val="24"/>
              <w14:ligatures w14:val="standardContextual"/>
            </w:rPr>
          </w:pPr>
          <w:hyperlink w:anchor="_Toc194931581" w:history="1">
            <w:r w:rsidRPr="0050092A">
              <w:rPr>
                <w:rStyle w:val="Hyperlink"/>
              </w:rPr>
              <w:t>Goal 3: Diversify Instructional Programs and Opportunities &amp; Enhance Community and Industry Partnerships to Support Workforce Development</w:t>
            </w:r>
            <w:r>
              <w:rPr>
                <w:webHidden/>
              </w:rPr>
              <w:tab/>
            </w:r>
            <w:r>
              <w:rPr>
                <w:webHidden/>
              </w:rPr>
              <w:fldChar w:fldCharType="begin"/>
            </w:r>
            <w:r>
              <w:rPr>
                <w:webHidden/>
              </w:rPr>
              <w:instrText xml:space="preserve"> PAGEREF _Toc194931581 \h </w:instrText>
            </w:r>
            <w:r>
              <w:rPr>
                <w:webHidden/>
              </w:rPr>
            </w:r>
            <w:r>
              <w:rPr>
                <w:webHidden/>
              </w:rPr>
              <w:fldChar w:fldCharType="separate"/>
            </w:r>
            <w:r>
              <w:rPr>
                <w:webHidden/>
              </w:rPr>
              <w:t>27</w:t>
            </w:r>
            <w:r>
              <w:rPr>
                <w:webHidden/>
              </w:rPr>
              <w:fldChar w:fldCharType="end"/>
            </w:r>
          </w:hyperlink>
        </w:p>
        <w:p w14:paraId="5879CB67" w14:textId="6E616AEA" w:rsidR="00635A4C" w:rsidRDefault="00635A4C">
          <w:pPr>
            <w:pStyle w:val="TOC2"/>
            <w:rPr>
              <w:rFonts w:asciiTheme="minorHAnsi" w:eastAsiaTheme="minorEastAsia" w:hAnsiTheme="minorHAnsi" w:cstheme="minorBidi"/>
              <w:kern w:val="2"/>
              <w:sz w:val="24"/>
              <w:szCs w:val="24"/>
              <w14:ligatures w14:val="standardContextual"/>
            </w:rPr>
          </w:pPr>
          <w:hyperlink w:anchor="_Toc194931582" w:history="1">
            <w:r w:rsidRPr="0050092A">
              <w:rPr>
                <w:rStyle w:val="Hyperlink"/>
              </w:rPr>
              <w:t>Goal 4: Position Taft College for Long-Term Sustainability and Future Growth</w:t>
            </w:r>
            <w:r>
              <w:rPr>
                <w:webHidden/>
              </w:rPr>
              <w:tab/>
            </w:r>
            <w:r>
              <w:rPr>
                <w:webHidden/>
              </w:rPr>
              <w:fldChar w:fldCharType="begin"/>
            </w:r>
            <w:r>
              <w:rPr>
                <w:webHidden/>
              </w:rPr>
              <w:instrText xml:space="preserve"> PAGEREF _Toc194931582 \h </w:instrText>
            </w:r>
            <w:r>
              <w:rPr>
                <w:webHidden/>
              </w:rPr>
            </w:r>
            <w:r>
              <w:rPr>
                <w:webHidden/>
              </w:rPr>
              <w:fldChar w:fldCharType="separate"/>
            </w:r>
            <w:r>
              <w:rPr>
                <w:webHidden/>
              </w:rPr>
              <w:t>27</w:t>
            </w:r>
            <w:r>
              <w:rPr>
                <w:webHidden/>
              </w:rPr>
              <w:fldChar w:fldCharType="end"/>
            </w:r>
          </w:hyperlink>
        </w:p>
        <w:p w14:paraId="537D039C" w14:textId="3B49C8E4" w:rsidR="00635A4C" w:rsidRDefault="00635A4C">
          <w:pPr>
            <w:pStyle w:val="TOC2"/>
            <w:rPr>
              <w:rFonts w:asciiTheme="minorHAnsi" w:eastAsiaTheme="minorEastAsia" w:hAnsiTheme="minorHAnsi" w:cstheme="minorBidi"/>
              <w:kern w:val="2"/>
              <w:sz w:val="24"/>
              <w:szCs w:val="24"/>
              <w14:ligatures w14:val="standardContextual"/>
            </w:rPr>
          </w:pPr>
          <w:hyperlink w:anchor="_Toc194931583" w:history="1">
            <w:r w:rsidRPr="0050092A">
              <w:rPr>
                <w:rStyle w:val="Hyperlink"/>
              </w:rPr>
              <w:t>Goal 5: Strengthen a Culture of Innovation, Equity, and Institutional Excellence</w:t>
            </w:r>
            <w:r>
              <w:rPr>
                <w:webHidden/>
              </w:rPr>
              <w:tab/>
            </w:r>
            <w:r>
              <w:rPr>
                <w:webHidden/>
              </w:rPr>
              <w:fldChar w:fldCharType="begin"/>
            </w:r>
            <w:r>
              <w:rPr>
                <w:webHidden/>
              </w:rPr>
              <w:instrText xml:space="preserve"> PAGEREF _Toc194931583 \h </w:instrText>
            </w:r>
            <w:r>
              <w:rPr>
                <w:webHidden/>
              </w:rPr>
            </w:r>
            <w:r>
              <w:rPr>
                <w:webHidden/>
              </w:rPr>
              <w:fldChar w:fldCharType="separate"/>
            </w:r>
            <w:r>
              <w:rPr>
                <w:webHidden/>
              </w:rPr>
              <w:t>28</w:t>
            </w:r>
            <w:r>
              <w:rPr>
                <w:webHidden/>
              </w:rPr>
              <w:fldChar w:fldCharType="end"/>
            </w:r>
          </w:hyperlink>
        </w:p>
        <w:p w14:paraId="7E0065AA" w14:textId="2482D4DA" w:rsidR="00635A4C" w:rsidRDefault="00635A4C">
          <w:pPr>
            <w:pStyle w:val="TOC1"/>
            <w:rPr>
              <w:rFonts w:eastAsiaTheme="minorEastAsia" w:cstheme="minorBidi"/>
              <w:b w:val="0"/>
              <w:bCs w:val="0"/>
              <w:kern w:val="2"/>
              <w14:ligatures w14:val="standardContextual"/>
            </w:rPr>
          </w:pPr>
          <w:hyperlink w:anchor="_Toc194931584" w:history="1">
            <w:r w:rsidRPr="0050092A">
              <w:rPr>
                <w:rStyle w:val="Hyperlink"/>
              </w:rPr>
              <w:t>Next Steps and Recommendations</w:t>
            </w:r>
            <w:r>
              <w:rPr>
                <w:webHidden/>
              </w:rPr>
              <w:tab/>
            </w:r>
            <w:r>
              <w:rPr>
                <w:webHidden/>
              </w:rPr>
              <w:fldChar w:fldCharType="begin"/>
            </w:r>
            <w:r>
              <w:rPr>
                <w:webHidden/>
              </w:rPr>
              <w:instrText xml:space="preserve"> PAGEREF _Toc194931584 \h </w:instrText>
            </w:r>
            <w:r>
              <w:rPr>
                <w:webHidden/>
              </w:rPr>
            </w:r>
            <w:r>
              <w:rPr>
                <w:webHidden/>
              </w:rPr>
              <w:fldChar w:fldCharType="separate"/>
            </w:r>
            <w:r>
              <w:rPr>
                <w:webHidden/>
              </w:rPr>
              <w:t>28</w:t>
            </w:r>
            <w:r>
              <w:rPr>
                <w:webHidden/>
              </w:rPr>
              <w:fldChar w:fldCharType="end"/>
            </w:r>
          </w:hyperlink>
        </w:p>
        <w:p w14:paraId="70491D78" w14:textId="1419C67C" w:rsidR="00635A4C" w:rsidRDefault="00635A4C">
          <w:pPr>
            <w:pStyle w:val="TOC2"/>
            <w:rPr>
              <w:rFonts w:asciiTheme="minorHAnsi" w:eastAsiaTheme="minorEastAsia" w:hAnsiTheme="minorHAnsi" w:cstheme="minorBidi"/>
              <w:kern w:val="2"/>
              <w:sz w:val="24"/>
              <w:szCs w:val="24"/>
              <w14:ligatures w14:val="standardContextual"/>
            </w:rPr>
          </w:pPr>
          <w:hyperlink w:anchor="_Toc194931585" w:history="1">
            <w:r w:rsidRPr="0050092A">
              <w:rPr>
                <w:rStyle w:val="Hyperlink"/>
              </w:rPr>
              <w:t>Educational Master Plan Roll-Out Process</w:t>
            </w:r>
            <w:r>
              <w:rPr>
                <w:webHidden/>
              </w:rPr>
              <w:tab/>
            </w:r>
            <w:r>
              <w:rPr>
                <w:webHidden/>
              </w:rPr>
              <w:fldChar w:fldCharType="begin"/>
            </w:r>
            <w:r>
              <w:rPr>
                <w:webHidden/>
              </w:rPr>
              <w:instrText xml:space="preserve"> PAGEREF _Toc194931585 \h </w:instrText>
            </w:r>
            <w:r>
              <w:rPr>
                <w:webHidden/>
              </w:rPr>
            </w:r>
            <w:r>
              <w:rPr>
                <w:webHidden/>
              </w:rPr>
              <w:fldChar w:fldCharType="separate"/>
            </w:r>
            <w:r>
              <w:rPr>
                <w:webHidden/>
              </w:rPr>
              <w:t>28</w:t>
            </w:r>
            <w:r>
              <w:rPr>
                <w:webHidden/>
              </w:rPr>
              <w:fldChar w:fldCharType="end"/>
            </w:r>
          </w:hyperlink>
        </w:p>
        <w:p w14:paraId="3FFC8865" w14:textId="0D36ABC9" w:rsidR="00635A4C" w:rsidRDefault="00635A4C">
          <w:pPr>
            <w:pStyle w:val="TOC2"/>
            <w:rPr>
              <w:rFonts w:asciiTheme="minorHAnsi" w:eastAsiaTheme="minorEastAsia" w:hAnsiTheme="minorHAnsi" w:cstheme="minorBidi"/>
              <w:kern w:val="2"/>
              <w:sz w:val="24"/>
              <w:szCs w:val="24"/>
              <w14:ligatures w14:val="standardContextual"/>
            </w:rPr>
          </w:pPr>
          <w:hyperlink w:anchor="_Toc194931586" w:history="1">
            <w:r w:rsidRPr="0050092A">
              <w:rPr>
                <w:rStyle w:val="Hyperlink"/>
              </w:rPr>
              <w:t>Plan Implementation</w:t>
            </w:r>
            <w:r>
              <w:rPr>
                <w:webHidden/>
              </w:rPr>
              <w:tab/>
            </w:r>
            <w:r>
              <w:rPr>
                <w:webHidden/>
              </w:rPr>
              <w:fldChar w:fldCharType="begin"/>
            </w:r>
            <w:r>
              <w:rPr>
                <w:webHidden/>
              </w:rPr>
              <w:instrText xml:space="preserve"> PAGEREF _Toc194931586 \h </w:instrText>
            </w:r>
            <w:r>
              <w:rPr>
                <w:webHidden/>
              </w:rPr>
            </w:r>
            <w:r>
              <w:rPr>
                <w:webHidden/>
              </w:rPr>
              <w:fldChar w:fldCharType="separate"/>
            </w:r>
            <w:r>
              <w:rPr>
                <w:webHidden/>
              </w:rPr>
              <w:t>28</w:t>
            </w:r>
            <w:r>
              <w:rPr>
                <w:webHidden/>
              </w:rPr>
              <w:fldChar w:fldCharType="end"/>
            </w:r>
          </w:hyperlink>
        </w:p>
        <w:p w14:paraId="560951A6" w14:textId="3A8A27F9" w:rsidR="00635A4C" w:rsidRDefault="00635A4C">
          <w:pPr>
            <w:pStyle w:val="TOC2"/>
            <w:rPr>
              <w:rFonts w:asciiTheme="minorHAnsi" w:eastAsiaTheme="minorEastAsia" w:hAnsiTheme="minorHAnsi" w:cstheme="minorBidi"/>
              <w:kern w:val="2"/>
              <w:sz w:val="24"/>
              <w:szCs w:val="24"/>
              <w14:ligatures w14:val="standardContextual"/>
            </w:rPr>
          </w:pPr>
          <w:hyperlink w:anchor="_Toc194931587" w:history="1">
            <w:r w:rsidRPr="0050092A">
              <w:rPr>
                <w:rStyle w:val="Hyperlink"/>
              </w:rPr>
              <w:t>Plan Design, Timelines, and Alignment Recommendations</w:t>
            </w:r>
            <w:r>
              <w:rPr>
                <w:webHidden/>
              </w:rPr>
              <w:tab/>
            </w:r>
            <w:r>
              <w:rPr>
                <w:webHidden/>
              </w:rPr>
              <w:fldChar w:fldCharType="begin"/>
            </w:r>
            <w:r>
              <w:rPr>
                <w:webHidden/>
              </w:rPr>
              <w:instrText xml:space="preserve"> PAGEREF _Toc194931587 \h </w:instrText>
            </w:r>
            <w:r>
              <w:rPr>
                <w:webHidden/>
              </w:rPr>
            </w:r>
            <w:r>
              <w:rPr>
                <w:webHidden/>
              </w:rPr>
              <w:fldChar w:fldCharType="separate"/>
            </w:r>
            <w:r>
              <w:rPr>
                <w:webHidden/>
              </w:rPr>
              <w:t>29</w:t>
            </w:r>
            <w:r>
              <w:rPr>
                <w:webHidden/>
              </w:rPr>
              <w:fldChar w:fldCharType="end"/>
            </w:r>
          </w:hyperlink>
        </w:p>
        <w:p w14:paraId="3E8E27AB" w14:textId="5CAB3D74" w:rsidR="00635A4C" w:rsidRDefault="00635A4C">
          <w:pPr>
            <w:pStyle w:val="TOC2"/>
            <w:rPr>
              <w:rFonts w:asciiTheme="minorHAnsi" w:eastAsiaTheme="minorEastAsia" w:hAnsiTheme="minorHAnsi" w:cstheme="minorBidi"/>
              <w:kern w:val="2"/>
              <w:sz w:val="24"/>
              <w:szCs w:val="24"/>
              <w14:ligatures w14:val="standardContextual"/>
            </w:rPr>
          </w:pPr>
          <w:hyperlink w:anchor="_Toc194931588" w:history="1">
            <w:r w:rsidRPr="0050092A">
              <w:rPr>
                <w:rStyle w:val="Hyperlink"/>
              </w:rPr>
              <w:t>Accountability and Monitoring Process</w:t>
            </w:r>
            <w:r>
              <w:rPr>
                <w:webHidden/>
              </w:rPr>
              <w:tab/>
            </w:r>
            <w:r>
              <w:rPr>
                <w:webHidden/>
              </w:rPr>
              <w:fldChar w:fldCharType="begin"/>
            </w:r>
            <w:r>
              <w:rPr>
                <w:webHidden/>
              </w:rPr>
              <w:instrText xml:space="preserve"> PAGEREF _Toc194931588 \h </w:instrText>
            </w:r>
            <w:r>
              <w:rPr>
                <w:webHidden/>
              </w:rPr>
            </w:r>
            <w:r>
              <w:rPr>
                <w:webHidden/>
              </w:rPr>
              <w:fldChar w:fldCharType="separate"/>
            </w:r>
            <w:r>
              <w:rPr>
                <w:webHidden/>
              </w:rPr>
              <w:t>29</w:t>
            </w:r>
            <w:r>
              <w:rPr>
                <w:webHidden/>
              </w:rPr>
              <w:fldChar w:fldCharType="end"/>
            </w:r>
          </w:hyperlink>
        </w:p>
        <w:p w14:paraId="6E94A735" w14:textId="03887D56" w:rsidR="00635A4C" w:rsidRDefault="00635A4C">
          <w:pPr>
            <w:pStyle w:val="TOC1"/>
            <w:rPr>
              <w:rFonts w:eastAsiaTheme="minorEastAsia" w:cstheme="minorBidi"/>
              <w:b w:val="0"/>
              <w:bCs w:val="0"/>
              <w:kern w:val="2"/>
              <w14:ligatures w14:val="standardContextual"/>
            </w:rPr>
          </w:pPr>
          <w:hyperlink w:anchor="_Toc194931589" w:history="1">
            <w:r w:rsidRPr="0050092A">
              <w:rPr>
                <w:rStyle w:val="Hyperlink"/>
                <w:rFonts w:eastAsia="DengXian Light"/>
              </w:rPr>
              <w:t>Appendix A: External Scan</w:t>
            </w:r>
            <w:r>
              <w:rPr>
                <w:webHidden/>
              </w:rPr>
              <w:tab/>
            </w:r>
            <w:r>
              <w:rPr>
                <w:webHidden/>
              </w:rPr>
              <w:fldChar w:fldCharType="begin"/>
            </w:r>
            <w:r>
              <w:rPr>
                <w:webHidden/>
              </w:rPr>
              <w:instrText xml:space="preserve"> PAGEREF _Toc194931589 \h </w:instrText>
            </w:r>
            <w:r>
              <w:rPr>
                <w:webHidden/>
              </w:rPr>
            </w:r>
            <w:r>
              <w:rPr>
                <w:webHidden/>
              </w:rPr>
              <w:fldChar w:fldCharType="separate"/>
            </w:r>
            <w:r>
              <w:rPr>
                <w:webHidden/>
              </w:rPr>
              <w:t>30</w:t>
            </w:r>
            <w:r>
              <w:rPr>
                <w:webHidden/>
              </w:rPr>
              <w:fldChar w:fldCharType="end"/>
            </w:r>
          </w:hyperlink>
        </w:p>
        <w:p w14:paraId="57DF7F28" w14:textId="2191392B" w:rsidR="00635A4C" w:rsidRDefault="00635A4C">
          <w:pPr>
            <w:pStyle w:val="TOC2"/>
            <w:rPr>
              <w:rFonts w:asciiTheme="minorHAnsi" w:eastAsiaTheme="minorEastAsia" w:hAnsiTheme="minorHAnsi" w:cstheme="minorBidi"/>
              <w:kern w:val="2"/>
              <w:sz w:val="24"/>
              <w:szCs w:val="24"/>
              <w14:ligatures w14:val="standardContextual"/>
            </w:rPr>
          </w:pPr>
          <w:hyperlink w:anchor="_Toc194931590" w:history="1">
            <w:r w:rsidRPr="0050092A">
              <w:rPr>
                <w:rStyle w:val="Hyperlink"/>
              </w:rPr>
              <w:t>West Kern Community College District Service Area</w:t>
            </w:r>
            <w:r>
              <w:rPr>
                <w:webHidden/>
              </w:rPr>
              <w:tab/>
            </w:r>
            <w:r>
              <w:rPr>
                <w:webHidden/>
              </w:rPr>
              <w:fldChar w:fldCharType="begin"/>
            </w:r>
            <w:r>
              <w:rPr>
                <w:webHidden/>
              </w:rPr>
              <w:instrText xml:space="preserve"> PAGEREF _Toc194931590 \h </w:instrText>
            </w:r>
            <w:r>
              <w:rPr>
                <w:webHidden/>
              </w:rPr>
            </w:r>
            <w:r>
              <w:rPr>
                <w:webHidden/>
              </w:rPr>
              <w:fldChar w:fldCharType="separate"/>
            </w:r>
            <w:r>
              <w:rPr>
                <w:webHidden/>
              </w:rPr>
              <w:t>30</w:t>
            </w:r>
            <w:r>
              <w:rPr>
                <w:webHidden/>
              </w:rPr>
              <w:fldChar w:fldCharType="end"/>
            </w:r>
          </w:hyperlink>
        </w:p>
        <w:p w14:paraId="341E18BE" w14:textId="1723F29D" w:rsidR="00635A4C" w:rsidRDefault="00635A4C">
          <w:pPr>
            <w:pStyle w:val="TOC2"/>
            <w:rPr>
              <w:rFonts w:asciiTheme="minorHAnsi" w:eastAsiaTheme="minorEastAsia" w:hAnsiTheme="minorHAnsi" w:cstheme="minorBidi"/>
              <w:kern w:val="2"/>
              <w:sz w:val="24"/>
              <w:szCs w:val="24"/>
              <w14:ligatures w14:val="standardContextual"/>
            </w:rPr>
          </w:pPr>
          <w:hyperlink w:anchor="_Toc194931591" w:history="1">
            <w:r w:rsidRPr="0050092A">
              <w:rPr>
                <w:rStyle w:val="Hyperlink"/>
              </w:rPr>
              <w:t>Kern County K-12 Trends</w:t>
            </w:r>
            <w:r>
              <w:rPr>
                <w:webHidden/>
              </w:rPr>
              <w:tab/>
            </w:r>
            <w:r>
              <w:rPr>
                <w:webHidden/>
              </w:rPr>
              <w:fldChar w:fldCharType="begin"/>
            </w:r>
            <w:r>
              <w:rPr>
                <w:webHidden/>
              </w:rPr>
              <w:instrText xml:space="preserve"> PAGEREF _Toc194931591 \h </w:instrText>
            </w:r>
            <w:r>
              <w:rPr>
                <w:webHidden/>
              </w:rPr>
            </w:r>
            <w:r>
              <w:rPr>
                <w:webHidden/>
              </w:rPr>
              <w:fldChar w:fldCharType="separate"/>
            </w:r>
            <w:r>
              <w:rPr>
                <w:webHidden/>
              </w:rPr>
              <w:t>37</w:t>
            </w:r>
            <w:r>
              <w:rPr>
                <w:webHidden/>
              </w:rPr>
              <w:fldChar w:fldCharType="end"/>
            </w:r>
          </w:hyperlink>
        </w:p>
        <w:p w14:paraId="01A80A7E" w14:textId="3535F929" w:rsidR="00635A4C" w:rsidRDefault="00635A4C">
          <w:pPr>
            <w:pStyle w:val="TOC2"/>
            <w:rPr>
              <w:rFonts w:asciiTheme="minorHAnsi" w:eastAsiaTheme="minorEastAsia" w:hAnsiTheme="minorHAnsi" w:cstheme="minorBidi"/>
              <w:kern w:val="2"/>
              <w:sz w:val="24"/>
              <w:szCs w:val="24"/>
              <w14:ligatures w14:val="standardContextual"/>
            </w:rPr>
          </w:pPr>
          <w:hyperlink w:anchor="_Toc194931592" w:history="1">
            <w:r w:rsidRPr="0050092A">
              <w:rPr>
                <w:rStyle w:val="Hyperlink"/>
              </w:rPr>
              <w:t>Labor Market Information</w:t>
            </w:r>
            <w:r>
              <w:rPr>
                <w:webHidden/>
              </w:rPr>
              <w:tab/>
            </w:r>
            <w:r>
              <w:rPr>
                <w:webHidden/>
              </w:rPr>
              <w:fldChar w:fldCharType="begin"/>
            </w:r>
            <w:r>
              <w:rPr>
                <w:webHidden/>
              </w:rPr>
              <w:instrText xml:space="preserve"> PAGEREF _Toc194931592 \h </w:instrText>
            </w:r>
            <w:r>
              <w:rPr>
                <w:webHidden/>
              </w:rPr>
            </w:r>
            <w:r>
              <w:rPr>
                <w:webHidden/>
              </w:rPr>
              <w:fldChar w:fldCharType="separate"/>
            </w:r>
            <w:r>
              <w:rPr>
                <w:webHidden/>
              </w:rPr>
              <w:t>40</w:t>
            </w:r>
            <w:r>
              <w:rPr>
                <w:webHidden/>
              </w:rPr>
              <w:fldChar w:fldCharType="end"/>
            </w:r>
          </w:hyperlink>
        </w:p>
        <w:p w14:paraId="26A7329B" w14:textId="718BBEAF" w:rsidR="00635A4C" w:rsidRDefault="00635A4C">
          <w:pPr>
            <w:pStyle w:val="TOC1"/>
            <w:rPr>
              <w:rFonts w:eastAsiaTheme="minorEastAsia" w:cstheme="minorBidi"/>
              <w:b w:val="0"/>
              <w:bCs w:val="0"/>
              <w:kern w:val="2"/>
              <w14:ligatures w14:val="standardContextual"/>
            </w:rPr>
          </w:pPr>
          <w:hyperlink w:anchor="_Toc194931593" w:history="1">
            <w:r w:rsidRPr="0050092A">
              <w:rPr>
                <w:rStyle w:val="Hyperlink"/>
              </w:rPr>
              <w:t>Appendix B: Internal Scan</w:t>
            </w:r>
            <w:r>
              <w:rPr>
                <w:webHidden/>
              </w:rPr>
              <w:tab/>
            </w:r>
            <w:r>
              <w:rPr>
                <w:webHidden/>
              </w:rPr>
              <w:fldChar w:fldCharType="begin"/>
            </w:r>
            <w:r>
              <w:rPr>
                <w:webHidden/>
              </w:rPr>
              <w:instrText xml:space="preserve"> PAGEREF _Toc194931593 \h </w:instrText>
            </w:r>
            <w:r>
              <w:rPr>
                <w:webHidden/>
              </w:rPr>
            </w:r>
            <w:r>
              <w:rPr>
                <w:webHidden/>
              </w:rPr>
              <w:fldChar w:fldCharType="separate"/>
            </w:r>
            <w:r>
              <w:rPr>
                <w:webHidden/>
              </w:rPr>
              <w:t>44</w:t>
            </w:r>
            <w:r>
              <w:rPr>
                <w:webHidden/>
              </w:rPr>
              <w:fldChar w:fldCharType="end"/>
            </w:r>
          </w:hyperlink>
        </w:p>
        <w:p w14:paraId="774D2BF0" w14:textId="5F8D50C5" w:rsidR="00635A4C" w:rsidRDefault="00635A4C">
          <w:pPr>
            <w:pStyle w:val="TOC2"/>
            <w:rPr>
              <w:rFonts w:asciiTheme="minorHAnsi" w:eastAsiaTheme="minorEastAsia" w:hAnsiTheme="minorHAnsi" w:cstheme="minorBidi"/>
              <w:kern w:val="2"/>
              <w:sz w:val="24"/>
              <w:szCs w:val="24"/>
              <w14:ligatures w14:val="standardContextual"/>
            </w:rPr>
          </w:pPr>
          <w:hyperlink w:anchor="_Toc194931594" w:history="1">
            <w:r w:rsidRPr="0050092A">
              <w:rPr>
                <w:rStyle w:val="Hyperlink"/>
              </w:rPr>
              <w:t>Enrollment</w:t>
            </w:r>
            <w:r>
              <w:rPr>
                <w:webHidden/>
              </w:rPr>
              <w:tab/>
            </w:r>
            <w:r>
              <w:rPr>
                <w:webHidden/>
              </w:rPr>
              <w:fldChar w:fldCharType="begin"/>
            </w:r>
            <w:r>
              <w:rPr>
                <w:webHidden/>
              </w:rPr>
              <w:instrText xml:space="preserve"> PAGEREF _Toc194931594 \h </w:instrText>
            </w:r>
            <w:r>
              <w:rPr>
                <w:webHidden/>
              </w:rPr>
            </w:r>
            <w:r>
              <w:rPr>
                <w:webHidden/>
              </w:rPr>
              <w:fldChar w:fldCharType="separate"/>
            </w:r>
            <w:r>
              <w:rPr>
                <w:webHidden/>
              </w:rPr>
              <w:t>44</w:t>
            </w:r>
            <w:r>
              <w:rPr>
                <w:webHidden/>
              </w:rPr>
              <w:fldChar w:fldCharType="end"/>
            </w:r>
          </w:hyperlink>
        </w:p>
        <w:p w14:paraId="669B9467" w14:textId="45D66E1F" w:rsidR="00635A4C" w:rsidRDefault="00635A4C">
          <w:pPr>
            <w:pStyle w:val="TOC2"/>
            <w:rPr>
              <w:rFonts w:asciiTheme="minorHAnsi" w:eastAsiaTheme="minorEastAsia" w:hAnsiTheme="minorHAnsi" w:cstheme="minorBidi"/>
              <w:kern w:val="2"/>
              <w:sz w:val="24"/>
              <w:szCs w:val="24"/>
              <w14:ligatures w14:val="standardContextual"/>
            </w:rPr>
          </w:pPr>
          <w:hyperlink w:anchor="_Toc194931595" w:history="1">
            <w:r w:rsidRPr="0050092A">
              <w:rPr>
                <w:rStyle w:val="Hyperlink"/>
              </w:rPr>
              <w:t>Students</w:t>
            </w:r>
            <w:r>
              <w:rPr>
                <w:webHidden/>
              </w:rPr>
              <w:tab/>
            </w:r>
            <w:r>
              <w:rPr>
                <w:webHidden/>
              </w:rPr>
              <w:fldChar w:fldCharType="begin"/>
            </w:r>
            <w:r>
              <w:rPr>
                <w:webHidden/>
              </w:rPr>
              <w:instrText xml:space="preserve"> PAGEREF _Toc194931595 \h </w:instrText>
            </w:r>
            <w:r>
              <w:rPr>
                <w:webHidden/>
              </w:rPr>
            </w:r>
            <w:r>
              <w:rPr>
                <w:webHidden/>
              </w:rPr>
              <w:fldChar w:fldCharType="separate"/>
            </w:r>
            <w:r>
              <w:rPr>
                <w:webHidden/>
              </w:rPr>
              <w:t>50</w:t>
            </w:r>
            <w:r>
              <w:rPr>
                <w:webHidden/>
              </w:rPr>
              <w:fldChar w:fldCharType="end"/>
            </w:r>
          </w:hyperlink>
        </w:p>
        <w:p w14:paraId="79991F89" w14:textId="375C7E37" w:rsidR="00635A4C" w:rsidRDefault="00635A4C">
          <w:pPr>
            <w:pStyle w:val="TOC2"/>
            <w:rPr>
              <w:rFonts w:asciiTheme="minorHAnsi" w:eastAsiaTheme="minorEastAsia" w:hAnsiTheme="minorHAnsi" w:cstheme="minorBidi"/>
              <w:kern w:val="2"/>
              <w:sz w:val="24"/>
              <w:szCs w:val="24"/>
              <w14:ligatures w14:val="standardContextual"/>
            </w:rPr>
          </w:pPr>
          <w:hyperlink w:anchor="_Toc194931596" w:history="1">
            <w:r w:rsidRPr="0050092A">
              <w:rPr>
                <w:rStyle w:val="Hyperlink"/>
              </w:rPr>
              <w:t xml:space="preserve">Student Outcomes: Degree/Transfer Students </w:t>
            </w:r>
            <w:r w:rsidRPr="0050092A">
              <w:rPr>
                <w:rStyle w:val="Hyperlink"/>
                <w:i/>
                <w:iCs/>
              </w:rPr>
              <w:t>(primarily Taft campus)</w:t>
            </w:r>
            <w:r>
              <w:rPr>
                <w:webHidden/>
              </w:rPr>
              <w:tab/>
            </w:r>
            <w:r>
              <w:rPr>
                <w:webHidden/>
              </w:rPr>
              <w:fldChar w:fldCharType="begin"/>
            </w:r>
            <w:r>
              <w:rPr>
                <w:webHidden/>
              </w:rPr>
              <w:instrText xml:space="preserve"> PAGEREF _Toc194931596 \h </w:instrText>
            </w:r>
            <w:r>
              <w:rPr>
                <w:webHidden/>
              </w:rPr>
            </w:r>
            <w:r>
              <w:rPr>
                <w:webHidden/>
              </w:rPr>
              <w:fldChar w:fldCharType="separate"/>
            </w:r>
            <w:r>
              <w:rPr>
                <w:webHidden/>
              </w:rPr>
              <w:t>65</w:t>
            </w:r>
            <w:r>
              <w:rPr>
                <w:webHidden/>
              </w:rPr>
              <w:fldChar w:fldCharType="end"/>
            </w:r>
          </w:hyperlink>
        </w:p>
        <w:p w14:paraId="025BCF19" w14:textId="079AE17A" w:rsidR="00635A4C" w:rsidRDefault="00635A4C">
          <w:pPr>
            <w:pStyle w:val="TOC2"/>
            <w:rPr>
              <w:rFonts w:asciiTheme="minorHAnsi" w:eastAsiaTheme="minorEastAsia" w:hAnsiTheme="minorHAnsi" w:cstheme="minorBidi"/>
              <w:kern w:val="2"/>
              <w:sz w:val="24"/>
              <w:szCs w:val="24"/>
              <w14:ligatures w14:val="standardContextual"/>
            </w:rPr>
          </w:pPr>
          <w:hyperlink w:anchor="_Toc194931597" w:history="1">
            <w:r w:rsidRPr="0050092A">
              <w:rPr>
                <w:rStyle w:val="Hyperlink"/>
              </w:rPr>
              <w:t xml:space="preserve">Student Outcomes: Short-Term Career Students </w:t>
            </w:r>
            <w:r w:rsidRPr="0050092A">
              <w:rPr>
                <w:rStyle w:val="Hyperlink"/>
                <w:i/>
                <w:iCs/>
              </w:rPr>
              <w:t>(primarily WESTEC)</w:t>
            </w:r>
            <w:r>
              <w:rPr>
                <w:webHidden/>
              </w:rPr>
              <w:tab/>
            </w:r>
            <w:r>
              <w:rPr>
                <w:webHidden/>
              </w:rPr>
              <w:fldChar w:fldCharType="begin"/>
            </w:r>
            <w:r>
              <w:rPr>
                <w:webHidden/>
              </w:rPr>
              <w:instrText xml:space="preserve"> PAGEREF _Toc194931597 \h </w:instrText>
            </w:r>
            <w:r>
              <w:rPr>
                <w:webHidden/>
              </w:rPr>
            </w:r>
            <w:r>
              <w:rPr>
                <w:webHidden/>
              </w:rPr>
              <w:fldChar w:fldCharType="separate"/>
            </w:r>
            <w:r>
              <w:rPr>
                <w:webHidden/>
              </w:rPr>
              <w:t>75</w:t>
            </w:r>
            <w:r>
              <w:rPr>
                <w:webHidden/>
              </w:rPr>
              <w:fldChar w:fldCharType="end"/>
            </w:r>
          </w:hyperlink>
        </w:p>
        <w:p w14:paraId="17249D2B" w14:textId="3647EE77" w:rsidR="00635A4C" w:rsidRDefault="00635A4C">
          <w:pPr>
            <w:pStyle w:val="TOC2"/>
            <w:rPr>
              <w:rFonts w:asciiTheme="minorHAnsi" w:eastAsiaTheme="minorEastAsia" w:hAnsiTheme="minorHAnsi" w:cstheme="minorBidi"/>
              <w:kern w:val="2"/>
              <w:sz w:val="24"/>
              <w:szCs w:val="24"/>
              <w14:ligatures w14:val="standardContextual"/>
            </w:rPr>
          </w:pPr>
          <w:hyperlink w:anchor="_Toc194931598" w:history="1">
            <w:r w:rsidRPr="0050092A">
              <w:rPr>
                <w:rStyle w:val="Hyperlink"/>
              </w:rPr>
              <w:t>Career Education Wage Outcomes by Program</w:t>
            </w:r>
            <w:r>
              <w:rPr>
                <w:webHidden/>
              </w:rPr>
              <w:tab/>
            </w:r>
            <w:r>
              <w:rPr>
                <w:webHidden/>
              </w:rPr>
              <w:fldChar w:fldCharType="begin"/>
            </w:r>
            <w:r>
              <w:rPr>
                <w:webHidden/>
              </w:rPr>
              <w:instrText xml:space="preserve"> PAGEREF _Toc194931598 \h </w:instrText>
            </w:r>
            <w:r>
              <w:rPr>
                <w:webHidden/>
              </w:rPr>
            </w:r>
            <w:r>
              <w:rPr>
                <w:webHidden/>
              </w:rPr>
              <w:fldChar w:fldCharType="separate"/>
            </w:r>
            <w:r>
              <w:rPr>
                <w:webHidden/>
              </w:rPr>
              <w:t>80</w:t>
            </w:r>
            <w:r>
              <w:rPr>
                <w:webHidden/>
              </w:rPr>
              <w:fldChar w:fldCharType="end"/>
            </w:r>
          </w:hyperlink>
        </w:p>
        <w:p w14:paraId="72AE3F1B" w14:textId="443A000F" w:rsidR="00635A4C" w:rsidRDefault="00635A4C">
          <w:pPr>
            <w:pStyle w:val="TOC2"/>
            <w:rPr>
              <w:rFonts w:asciiTheme="minorHAnsi" w:eastAsiaTheme="minorEastAsia" w:hAnsiTheme="minorHAnsi" w:cstheme="minorBidi"/>
              <w:kern w:val="2"/>
              <w:sz w:val="24"/>
              <w:szCs w:val="24"/>
              <w14:ligatures w14:val="standardContextual"/>
            </w:rPr>
          </w:pPr>
          <w:hyperlink w:anchor="_Toc194931599" w:history="1">
            <w:r w:rsidRPr="0050092A">
              <w:rPr>
                <w:rStyle w:val="Hyperlink"/>
              </w:rPr>
              <w:t>Student Outcomes: Undecided/Other Students</w:t>
            </w:r>
            <w:r>
              <w:rPr>
                <w:webHidden/>
              </w:rPr>
              <w:tab/>
            </w:r>
            <w:r>
              <w:rPr>
                <w:webHidden/>
              </w:rPr>
              <w:fldChar w:fldCharType="begin"/>
            </w:r>
            <w:r>
              <w:rPr>
                <w:webHidden/>
              </w:rPr>
              <w:instrText xml:space="preserve"> PAGEREF _Toc194931599 \h </w:instrText>
            </w:r>
            <w:r>
              <w:rPr>
                <w:webHidden/>
              </w:rPr>
            </w:r>
            <w:r>
              <w:rPr>
                <w:webHidden/>
              </w:rPr>
              <w:fldChar w:fldCharType="separate"/>
            </w:r>
            <w:r>
              <w:rPr>
                <w:webHidden/>
              </w:rPr>
              <w:t>81</w:t>
            </w:r>
            <w:r>
              <w:rPr>
                <w:webHidden/>
              </w:rPr>
              <w:fldChar w:fldCharType="end"/>
            </w:r>
          </w:hyperlink>
        </w:p>
        <w:p w14:paraId="21B7E067" w14:textId="7309D47F" w:rsidR="00635A4C" w:rsidRDefault="00635A4C">
          <w:pPr>
            <w:pStyle w:val="TOC2"/>
            <w:rPr>
              <w:rFonts w:asciiTheme="minorHAnsi" w:eastAsiaTheme="minorEastAsia" w:hAnsiTheme="minorHAnsi" w:cstheme="minorBidi"/>
              <w:kern w:val="2"/>
              <w:sz w:val="24"/>
              <w:szCs w:val="24"/>
              <w14:ligatures w14:val="standardContextual"/>
            </w:rPr>
          </w:pPr>
          <w:hyperlink w:anchor="_Toc194931600" w:history="1">
            <w:r w:rsidRPr="0050092A">
              <w:rPr>
                <w:rStyle w:val="Hyperlink"/>
              </w:rPr>
              <w:t>Student Surveys</w:t>
            </w:r>
            <w:r>
              <w:rPr>
                <w:webHidden/>
              </w:rPr>
              <w:tab/>
            </w:r>
            <w:r>
              <w:rPr>
                <w:webHidden/>
              </w:rPr>
              <w:fldChar w:fldCharType="begin"/>
            </w:r>
            <w:r>
              <w:rPr>
                <w:webHidden/>
              </w:rPr>
              <w:instrText xml:space="preserve"> PAGEREF _Toc194931600 \h </w:instrText>
            </w:r>
            <w:r>
              <w:rPr>
                <w:webHidden/>
              </w:rPr>
            </w:r>
            <w:r>
              <w:rPr>
                <w:webHidden/>
              </w:rPr>
              <w:fldChar w:fldCharType="separate"/>
            </w:r>
            <w:r>
              <w:rPr>
                <w:webHidden/>
              </w:rPr>
              <w:t>81</w:t>
            </w:r>
            <w:r>
              <w:rPr>
                <w:webHidden/>
              </w:rPr>
              <w:fldChar w:fldCharType="end"/>
            </w:r>
          </w:hyperlink>
        </w:p>
        <w:p w14:paraId="262890FB" w14:textId="1BD64829" w:rsidR="00635A4C" w:rsidRDefault="00635A4C">
          <w:pPr>
            <w:pStyle w:val="TOC2"/>
            <w:rPr>
              <w:rFonts w:asciiTheme="minorHAnsi" w:eastAsiaTheme="minorEastAsia" w:hAnsiTheme="minorHAnsi" w:cstheme="minorBidi"/>
              <w:kern w:val="2"/>
              <w:sz w:val="24"/>
              <w:szCs w:val="24"/>
              <w14:ligatures w14:val="standardContextual"/>
            </w:rPr>
          </w:pPr>
          <w:hyperlink w:anchor="_Toc194931601" w:history="1">
            <w:r w:rsidRPr="0050092A">
              <w:rPr>
                <w:rStyle w:val="Hyperlink"/>
              </w:rPr>
              <w:t>Listening Sessions and Emergent Themes</w:t>
            </w:r>
            <w:r>
              <w:rPr>
                <w:webHidden/>
              </w:rPr>
              <w:tab/>
            </w:r>
            <w:r>
              <w:rPr>
                <w:webHidden/>
              </w:rPr>
              <w:fldChar w:fldCharType="begin"/>
            </w:r>
            <w:r>
              <w:rPr>
                <w:webHidden/>
              </w:rPr>
              <w:instrText xml:space="preserve"> PAGEREF _Toc194931601 \h </w:instrText>
            </w:r>
            <w:r>
              <w:rPr>
                <w:webHidden/>
              </w:rPr>
            </w:r>
            <w:r>
              <w:rPr>
                <w:webHidden/>
              </w:rPr>
              <w:fldChar w:fldCharType="separate"/>
            </w:r>
            <w:r>
              <w:rPr>
                <w:webHidden/>
              </w:rPr>
              <w:t>83</w:t>
            </w:r>
            <w:r>
              <w:rPr>
                <w:webHidden/>
              </w:rPr>
              <w:fldChar w:fldCharType="end"/>
            </w:r>
          </w:hyperlink>
        </w:p>
        <w:p w14:paraId="78ADED24" w14:textId="7D4EC48C" w:rsidR="00635A4C" w:rsidRDefault="00635A4C">
          <w:r>
            <w:rPr>
              <w:b/>
              <w:bCs/>
              <w:noProof/>
            </w:rPr>
            <w:fldChar w:fldCharType="end"/>
          </w:r>
        </w:p>
      </w:sdtContent>
    </w:sdt>
    <w:p w14:paraId="5E7F5A97" w14:textId="77777777" w:rsidR="00F07E54" w:rsidRDefault="00F07E54">
      <w:pPr>
        <w:spacing w:after="0"/>
        <w:rPr>
          <w:rFonts w:asciiTheme="majorHAnsi" w:eastAsiaTheme="majorEastAsia" w:hAnsiTheme="majorHAnsi" w:cstheme="majorBidi"/>
          <w:b/>
          <w:bCs/>
          <w:color w:val="1F3864" w:themeColor="accent1" w:themeShade="80"/>
          <w:sz w:val="32"/>
          <w:szCs w:val="32"/>
        </w:rPr>
      </w:pPr>
      <w:r>
        <w:br w:type="page"/>
      </w:r>
    </w:p>
    <w:p w14:paraId="78FACF3E" w14:textId="77777777" w:rsidR="00613189" w:rsidRDefault="00613189" w:rsidP="00613189">
      <w:pPr>
        <w:pStyle w:val="Heading1"/>
      </w:pPr>
      <w:bookmarkStart w:id="0" w:name="_Toc194931219"/>
      <w:bookmarkStart w:id="1" w:name="_Toc194931544"/>
      <w:r>
        <w:lastRenderedPageBreak/>
        <w:t>Acknowledgments</w:t>
      </w:r>
      <w:bookmarkEnd w:id="0"/>
      <w:bookmarkEnd w:id="1"/>
    </w:p>
    <w:p w14:paraId="3AF88AFF" w14:textId="695B6B03" w:rsidR="00047124" w:rsidRPr="00047124" w:rsidRDefault="00047124" w:rsidP="007328B8">
      <w:bookmarkStart w:id="2" w:name="_Toc194322788"/>
      <w:bookmarkStart w:id="3" w:name="_Toc194324003"/>
      <w:bookmarkStart w:id="4" w:name="_Toc194324158"/>
      <w:r w:rsidRPr="00047124">
        <w:t>Taft College would like to express its sincere appreciation to all those who contributed to the development of the Educational Master Plan (EMP). This collaborative effort would not have been possible without the dedication and input from our faculty, staff, students, administrators, and community members. We are especially grateful to the members of the Educational Master Plan Committee, whose leadership and commitment guided the process. A special thanks also goes to the Academic Senate, Classified Senate, and the Associated Students of Taft College for their active involvement and valuable perspectives.</w:t>
      </w:r>
      <w:bookmarkEnd w:id="2"/>
      <w:bookmarkEnd w:id="3"/>
      <w:bookmarkEnd w:id="4"/>
    </w:p>
    <w:p w14:paraId="7ABDAB79" w14:textId="77777777" w:rsidR="00047124" w:rsidRDefault="00047124" w:rsidP="007328B8">
      <w:pPr>
        <w:rPr>
          <w:b/>
          <w:bCs/>
        </w:rPr>
      </w:pPr>
      <w:bookmarkStart w:id="5" w:name="_Toc194322789"/>
      <w:bookmarkStart w:id="6" w:name="_Toc194324004"/>
      <w:bookmarkStart w:id="7" w:name="_Toc194324159"/>
      <w:r w:rsidRPr="00047124">
        <w:t>The success of this plan reflects the collective vision of our campus and community. Your contributions have shaped a thoughtful, inclusive, and forward-looking roadmap that will help guide Taft College in its mission to foster equity, enhance student success, and promote innovation in education. Together, we are building a future that prioritizes student achievement and strengthens our commitment to excellence in teaching, learning, and community engagement. We are grateful for everyone’s participation in shaping this important plan and for your ongoing support in helping Taft College continue to thrive.</w:t>
      </w:r>
      <w:bookmarkEnd w:id="5"/>
      <w:bookmarkEnd w:id="6"/>
      <w:bookmarkEnd w:id="7"/>
    </w:p>
    <w:p w14:paraId="1F7BE1F8" w14:textId="242D590A" w:rsidR="00613189" w:rsidRDefault="00613189" w:rsidP="00047124">
      <w:pPr>
        <w:pStyle w:val="Heading2"/>
      </w:pPr>
      <w:bookmarkStart w:id="8" w:name="_Toc194931220"/>
      <w:bookmarkStart w:id="9" w:name="_Toc194931545"/>
      <w:r>
        <w:t>Educational Master Plan Committee (EMPC)</w:t>
      </w:r>
      <w:bookmarkEnd w:id="8"/>
      <w:bookmarkEnd w:id="9"/>
    </w:p>
    <w:p w14:paraId="6E98BCA9" w14:textId="1E5F9086" w:rsidR="00613189" w:rsidRDefault="00613189" w:rsidP="00613189">
      <w:pPr>
        <w:spacing w:after="0"/>
      </w:pPr>
      <w:r>
        <w:t>While many voices are reflected in the development of this plan, a special acknowledgment goes to the Taft College Educational Master Plan Committee members listed below (in alphabetical order) who served on the committee in the 2024-25 Academic Years</w:t>
      </w:r>
      <w:r w:rsidR="00BF68BA">
        <w:t xml:space="preserve"> and others who </w:t>
      </w:r>
      <w:r w:rsidR="00CC50AA">
        <w:t>substantive added</w:t>
      </w:r>
      <w:r w:rsidR="002F58FF">
        <w:t xml:space="preserve"> </w:t>
      </w:r>
      <w:r w:rsidR="00BF68BA">
        <w:t xml:space="preserve">to </w:t>
      </w:r>
      <w:r w:rsidR="002F58FF">
        <w:t xml:space="preserve">the </w:t>
      </w:r>
      <w:r w:rsidR="00BF68BA">
        <w:t xml:space="preserve">development of this plan. </w:t>
      </w:r>
    </w:p>
    <w:p w14:paraId="748A89DD" w14:textId="77777777" w:rsidR="00613189" w:rsidRDefault="00613189" w:rsidP="00613189">
      <w:pPr>
        <w:spacing w:after="0"/>
      </w:pPr>
    </w:p>
    <w:p w14:paraId="6D58E14B" w14:textId="63B1E197" w:rsidR="00047124" w:rsidRDefault="00047124" w:rsidP="00613189">
      <w:pPr>
        <w:spacing w:after="0"/>
      </w:pPr>
      <w:r>
        <w:t>Krystal Allikas</w:t>
      </w:r>
      <w:r>
        <w:tab/>
      </w:r>
      <w:r>
        <w:tab/>
      </w:r>
      <w:r>
        <w:tab/>
        <w:t>Educational Data Equity Specialist</w:t>
      </w:r>
    </w:p>
    <w:p w14:paraId="01D7E7D6" w14:textId="2844AACA" w:rsidR="00613189" w:rsidRDefault="00613189" w:rsidP="00613189">
      <w:pPr>
        <w:spacing w:after="0"/>
      </w:pPr>
      <w:r>
        <w:t>Kanoe Bandy</w:t>
      </w:r>
      <w:r>
        <w:tab/>
      </w:r>
      <w:r>
        <w:tab/>
      </w:r>
      <w:r>
        <w:tab/>
        <w:t xml:space="preserve">Division Chair, Allied Health and Applied Technology </w:t>
      </w:r>
    </w:p>
    <w:p w14:paraId="52E5BCA8" w14:textId="77777777" w:rsidR="00613189" w:rsidRDefault="00613189" w:rsidP="00613189">
      <w:pPr>
        <w:spacing w:after="0"/>
      </w:pPr>
      <w:r>
        <w:t>Trudi Blanco</w:t>
      </w:r>
      <w:r>
        <w:tab/>
      </w:r>
      <w:r>
        <w:tab/>
      </w:r>
      <w:r>
        <w:tab/>
        <w:t>Confidential Representative, Executive Assistant, Administrative Services</w:t>
      </w:r>
    </w:p>
    <w:p w14:paraId="5283508D" w14:textId="77777777" w:rsidR="00613189" w:rsidRDefault="00613189" w:rsidP="00613189">
      <w:pPr>
        <w:spacing w:after="0"/>
      </w:pPr>
      <w:r>
        <w:t>Adam Bledsoe</w:t>
      </w:r>
      <w:r>
        <w:tab/>
      </w:r>
      <w:r>
        <w:tab/>
      </w:r>
      <w:r>
        <w:tab/>
        <w:t xml:space="preserve">Division Chair, Business, Arts, and Humanities </w:t>
      </w:r>
    </w:p>
    <w:p w14:paraId="12B601B3" w14:textId="77777777" w:rsidR="00613189" w:rsidRDefault="00613189" w:rsidP="00613189">
      <w:pPr>
        <w:spacing w:after="0"/>
      </w:pPr>
      <w:r>
        <w:t>Heather del Rosario</w:t>
      </w:r>
      <w:r>
        <w:tab/>
      </w:r>
      <w:r>
        <w:tab/>
        <w:t>Vice President, Human Resources</w:t>
      </w:r>
    </w:p>
    <w:p w14:paraId="6B6BE6A6" w14:textId="77777777" w:rsidR="00613189" w:rsidRDefault="00613189" w:rsidP="00613189">
      <w:pPr>
        <w:spacing w:after="0"/>
      </w:pPr>
      <w:r>
        <w:t>Bill Devine</w:t>
      </w:r>
      <w:r>
        <w:tab/>
      </w:r>
      <w:r>
        <w:tab/>
      </w:r>
      <w:r>
        <w:tab/>
        <w:t xml:space="preserve">Division Chair, English Language Arts </w:t>
      </w:r>
    </w:p>
    <w:p w14:paraId="257C581B" w14:textId="77777777" w:rsidR="00613189" w:rsidRDefault="00613189" w:rsidP="00613189">
      <w:pPr>
        <w:spacing w:after="0"/>
      </w:pPr>
      <w:r>
        <w:t>Candace Duron</w:t>
      </w:r>
      <w:r>
        <w:tab/>
      </w:r>
      <w:r>
        <w:tab/>
      </w:r>
      <w:r>
        <w:tab/>
        <w:t>Academic Senate President</w:t>
      </w:r>
    </w:p>
    <w:p w14:paraId="2E4CC991" w14:textId="77777777" w:rsidR="00613189" w:rsidRDefault="00613189" w:rsidP="00613189">
      <w:pPr>
        <w:spacing w:after="0"/>
      </w:pPr>
      <w:r>
        <w:t>Renae Ginther</w:t>
      </w:r>
      <w:r>
        <w:tab/>
      </w:r>
      <w:r>
        <w:tab/>
      </w:r>
      <w:r>
        <w:tab/>
        <w:t>Classified Representative, Tutor</w:t>
      </w:r>
    </w:p>
    <w:p w14:paraId="52DD9DA3" w14:textId="77777777" w:rsidR="00613189" w:rsidRDefault="00613189" w:rsidP="00613189">
      <w:pPr>
        <w:spacing w:after="0"/>
      </w:pPr>
      <w:r>
        <w:t>Luz Gonzalez</w:t>
      </w:r>
      <w:r>
        <w:tab/>
      </w:r>
      <w:r>
        <w:tab/>
      </w:r>
      <w:r>
        <w:tab/>
        <w:t>Associated Student Organization (ASO) Representative</w:t>
      </w:r>
    </w:p>
    <w:p w14:paraId="1AF54784" w14:textId="77777777" w:rsidR="00613189" w:rsidRDefault="00613189" w:rsidP="00613189">
      <w:pPr>
        <w:spacing w:after="0"/>
      </w:pPr>
      <w:r>
        <w:t>Dr. Todd Hampton</w:t>
      </w:r>
      <w:r>
        <w:tab/>
      </w:r>
      <w:r>
        <w:tab/>
        <w:t>Vice President, Admin. Services</w:t>
      </w:r>
    </w:p>
    <w:p w14:paraId="4EC54980" w14:textId="77777777" w:rsidR="00613189" w:rsidRDefault="00613189" w:rsidP="00613189">
      <w:pPr>
        <w:spacing w:after="0"/>
      </w:pPr>
      <w:r>
        <w:t xml:space="preserve">Giselle Hovind </w:t>
      </w:r>
      <w:r>
        <w:tab/>
      </w:r>
      <w:r>
        <w:tab/>
      </w:r>
      <w:r>
        <w:tab/>
        <w:t>Classified Representative, Cougar Support Center</w:t>
      </w:r>
    </w:p>
    <w:p w14:paraId="01A19656" w14:textId="77777777" w:rsidR="00613189" w:rsidRDefault="00613189" w:rsidP="00613189">
      <w:pPr>
        <w:spacing w:after="0"/>
      </w:pPr>
      <w:r>
        <w:t>Dr. Xiaohong Li</w:t>
      </w:r>
      <w:r>
        <w:tab/>
      </w:r>
      <w:r>
        <w:tab/>
      </w:r>
      <w:r>
        <w:tab/>
        <w:t>Vice President, Information and Institutional Effectiveness</w:t>
      </w:r>
    </w:p>
    <w:p w14:paraId="2F1104C2" w14:textId="77777777" w:rsidR="00613189" w:rsidRDefault="00613189" w:rsidP="00613189">
      <w:pPr>
        <w:spacing w:after="0"/>
      </w:pPr>
      <w:r>
        <w:t>Justin Madding</w:t>
      </w:r>
      <w:r>
        <w:tab/>
      </w:r>
      <w:r>
        <w:tab/>
      </w:r>
      <w:r>
        <w:tab/>
        <w:t>Management Representative, Director Facilities and Planning</w:t>
      </w:r>
    </w:p>
    <w:p w14:paraId="3AF06410" w14:textId="77777777" w:rsidR="00613189" w:rsidRDefault="00613189" w:rsidP="00613189">
      <w:pPr>
        <w:spacing w:after="0"/>
      </w:pPr>
      <w:r>
        <w:t>Mike Mayfield</w:t>
      </w:r>
      <w:r>
        <w:tab/>
      </w:r>
      <w:r>
        <w:tab/>
      </w:r>
      <w:r>
        <w:tab/>
        <w:t>Division Chair, Math and Science</w:t>
      </w:r>
    </w:p>
    <w:p w14:paraId="1094E41E" w14:textId="77777777" w:rsidR="00613189" w:rsidRDefault="00613189" w:rsidP="00613189">
      <w:pPr>
        <w:spacing w:after="0"/>
      </w:pPr>
      <w:r>
        <w:t>Tina Mendoza</w:t>
      </w:r>
      <w:r>
        <w:tab/>
      </w:r>
      <w:r>
        <w:tab/>
      </w:r>
      <w:r>
        <w:tab/>
        <w:t>Division Chair, Social Sciences</w:t>
      </w:r>
    </w:p>
    <w:p w14:paraId="3B001D9A" w14:textId="77777777" w:rsidR="00613189" w:rsidRDefault="00613189" w:rsidP="00613189">
      <w:pPr>
        <w:spacing w:after="0"/>
      </w:pPr>
      <w:r>
        <w:t>Dr. Leslie Minor</w:t>
      </w:r>
      <w:r>
        <w:tab/>
      </w:r>
      <w:r>
        <w:tab/>
      </w:r>
      <w:r>
        <w:tab/>
        <w:t>Interim Superintendent/President, Vice President, Instruction</w:t>
      </w:r>
    </w:p>
    <w:p w14:paraId="0E7C7A76" w14:textId="77777777" w:rsidR="00613189" w:rsidRDefault="00613189" w:rsidP="00613189">
      <w:pPr>
        <w:spacing w:after="0"/>
      </w:pPr>
      <w:r>
        <w:t>Juana Rangel-Escobedo</w:t>
      </w:r>
      <w:r>
        <w:tab/>
      </w:r>
      <w:r>
        <w:tab/>
        <w:t xml:space="preserve">Division Chair, Learning Support </w:t>
      </w:r>
    </w:p>
    <w:p w14:paraId="5872A85A" w14:textId="77777777" w:rsidR="00613189" w:rsidRDefault="00613189" w:rsidP="00613189">
      <w:pPr>
        <w:spacing w:after="0"/>
      </w:pPr>
      <w:r>
        <w:t>Debbie Rios</w:t>
      </w:r>
      <w:r>
        <w:tab/>
      </w:r>
      <w:r>
        <w:tab/>
      </w:r>
      <w:r>
        <w:tab/>
        <w:t>Classified Representative, Transition to Independent Living (TIL) Senior Secretary</w:t>
      </w:r>
    </w:p>
    <w:p w14:paraId="39095E7E" w14:textId="15AC3CD8" w:rsidR="00047124" w:rsidRDefault="00047124" w:rsidP="00613189">
      <w:pPr>
        <w:spacing w:after="0"/>
      </w:pPr>
      <w:r>
        <w:t>Brandy Young</w:t>
      </w:r>
      <w:r>
        <w:tab/>
      </w:r>
      <w:r>
        <w:tab/>
      </w:r>
      <w:r>
        <w:tab/>
        <w:t>Executive Assistant, Institutional Effectiveness</w:t>
      </w:r>
    </w:p>
    <w:p w14:paraId="63B2F608" w14:textId="18541114" w:rsidR="00BF68BA" w:rsidRDefault="00ED7777" w:rsidP="00613189">
      <w:pPr>
        <w:spacing w:after="0"/>
      </w:pPr>
      <w:r>
        <w:t xml:space="preserve">Dr. </w:t>
      </w:r>
      <w:r w:rsidR="00BF68BA">
        <w:t>Vicki Jacobi</w:t>
      </w:r>
      <w:r w:rsidR="00BF68BA">
        <w:tab/>
      </w:r>
      <w:r w:rsidR="00BF68BA">
        <w:tab/>
      </w:r>
      <w:r w:rsidR="00BF68BA">
        <w:tab/>
        <w:t>Academic Senate Vice President, Articulation Officer, Counselor</w:t>
      </w:r>
    </w:p>
    <w:p w14:paraId="0EA6D885" w14:textId="77777777" w:rsidR="00047124" w:rsidRDefault="00047124" w:rsidP="00613189">
      <w:pPr>
        <w:spacing w:after="0"/>
      </w:pPr>
    </w:p>
    <w:p w14:paraId="41B17A55" w14:textId="77777777" w:rsidR="00613189" w:rsidRPr="007241B0" w:rsidRDefault="00613189" w:rsidP="00613189">
      <w:pPr>
        <w:spacing w:after="0"/>
      </w:pPr>
      <w:r>
        <w:tab/>
      </w:r>
      <w:r>
        <w:tab/>
      </w:r>
    </w:p>
    <w:p w14:paraId="47AEF1EC" w14:textId="7544099E" w:rsidR="00487D7C" w:rsidRDefault="00487D7C" w:rsidP="001758D4">
      <w:pPr>
        <w:spacing w:after="0"/>
        <w:rPr>
          <w:rFonts w:asciiTheme="majorHAnsi" w:eastAsiaTheme="majorEastAsia" w:hAnsiTheme="majorHAnsi" w:cstheme="majorBidi"/>
          <w:b/>
          <w:bCs/>
          <w:color w:val="1F3864" w:themeColor="accent1" w:themeShade="80"/>
          <w:sz w:val="32"/>
          <w:szCs w:val="32"/>
        </w:rPr>
      </w:pPr>
      <w:r>
        <w:br w:type="page"/>
      </w:r>
    </w:p>
    <w:p w14:paraId="124C39D3" w14:textId="77777777" w:rsidR="00613189" w:rsidRDefault="00613189" w:rsidP="00613189">
      <w:pPr>
        <w:pStyle w:val="Heading1"/>
      </w:pPr>
      <w:bookmarkStart w:id="10" w:name="_Toc194931221"/>
      <w:bookmarkStart w:id="11" w:name="_Toc194931546"/>
      <w:r>
        <w:lastRenderedPageBreak/>
        <w:t>Executive Summary</w:t>
      </w:r>
      <w:bookmarkEnd w:id="10"/>
      <w:bookmarkEnd w:id="11"/>
    </w:p>
    <w:p w14:paraId="115311EC" w14:textId="77777777" w:rsidR="00613189" w:rsidRPr="007C3EBF" w:rsidRDefault="00613189" w:rsidP="00613189">
      <w:pPr>
        <w:rPr>
          <w:rFonts w:cs="Calibri"/>
        </w:rPr>
      </w:pPr>
      <w:r w:rsidRPr="007C3EBF">
        <w:rPr>
          <w:rFonts w:cs="Calibri"/>
        </w:rPr>
        <w:t>The</w:t>
      </w:r>
      <w:r>
        <w:rPr>
          <w:rFonts w:cs="Calibri"/>
        </w:rPr>
        <w:t xml:space="preserve"> </w:t>
      </w:r>
      <w:r w:rsidRPr="00AF61AC">
        <w:rPr>
          <w:rFonts w:cs="Calibri"/>
          <w:i/>
          <w:iCs/>
        </w:rPr>
        <w:t>Taft College Educational Master Plan 2025-2035</w:t>
      </w:r>
      <w:r w:rsidRPr="007C3EBF">
        <w:rPr>
          <w:rFonts w:cs="Calibri"/>
        </w:rPr>
        <w:t xml:space="preserve"> is a comprehensive document that will help guide the institution over the next </w:t>
      </w:r>
      <w:r>
        <w:rPr>
          <w:rFonts w:cs="Calibri"/>
        </w:rPr>
        <w:t>ten</w:t>
      </w:r>
      <w:r w:rsidRPr="007C3EBF">
        <w:rPr>
          <w:rFonts w:cs="Calibri"/>
        </w:rPr>
        <w:t xml:space="preserve"> years as it works to fulfill its mission and vision and meet the needs of its students and community.</w:t>
      </w:r>
    </w:p>
    <w:p w14:paraId="3AE33C0A" w14:textId="77777777" w:rsidR="00613189" w:rsidRPr="007C3EBF" w:rsidRDefault="00613189" w:rsidP="00613189">
      <w:pPr>
        <w:rPr>
          <w:rFonts w:cs="Calibri"/>
        </w:rPr>
      </w:pPr>
      <w:r w:rsidRPr="007C3EBF">
        <w:rPr>
          <w:rFonts w:cs="Calibri"/>
        </w:rPr>
        <w:t xml:space="preserve">The </w:t>
      </w:r>
      <w:r>
        <w:rPr>
          <w:rFonts w:cs="Calibri"/>
        </w:rPr>
        <w:t>Educational Master Plan (</w:t>
      </w:r>
      <w:r w:rsidRPr="007C3EBF">
        <w:rPr>
          <w:rFonts w:cs="Calibri"/>
        </w:rPr>
        <w:t>E</w:t>
      </w:r>
      <w:r>
        <w:rPr>
          <w:rFonts w:cs="Calibri"/>
        </w:rPr>
        <w:t>M</w:t>
      </w:r>
      <w:r w:rsidRPr="007C3EBF">
        <w:rPr>
          <w:rFonts w:cs="Calibri"/>
        </w:rPr>
        <w:t>P</w:t>
      </w:r>
      <w:r>
        <w:rPr>
          <w:rFonts w:cs="Calibri"/>
        </w:rPr>
        <w:t>)</w:t>
      </w:r>
      <w:r w:rsidRPr="007C3EBF">
        <w:rPr>
          <w:rFonts w:cs="Calibri"/>
        </w:rPr>
        <w:t xml:space="preserve"> aligns with districtwide strategic directions and the California Community College Chancellor’s Office (CCCCO) Vision for Success and Vision 2030 goals. Developed through a collegial and collaborative process, this plan articulates collegewide goals and supporting objectives that will help guide </w:t>
      </w:r>
      <w:r>
        <w:rPr>
          <w:rFonts w:cs="Calibri"/>
        </w:rPr>
        <w:t>Taft</w:t>
      </w:r>
      <w:r w:rsidRPr="007C3EBF">
        <w:rPr>
          <w:rFonts w:cs="Calibri"/>
        </w:rPr>
        <w:t xml:space="preserve"> College in establishing priorities, planning for future needs, developing new programs, and guiding resource allocation as it focuses on strengthening student access</w:t>
      </w:r>
      <w:r>
        <w:rPr>
          <w:rFonts w:cs="Calibri"/>
        </w:rPr>
        <w:t xml:space="preserve"> and s</w:t>
      </w:r>
      <w:r w:rsidRPr="007C3EBF">
        <w:rPr>
          <w:rFonts w:cs="Calibri"/>
        </w:rPr>
        <w:t>uccess, and achieving equitable outcomes.</w:t>
      </w:r>
    </w:p>
    <w:p w14:paraId="3A83130A" w14:textId="77777777" w:rsidR="00613189" w:rsidRPr="007C3EBF" w:rsidRDefault="00613189" w:rsidP="00613189">
      <w:pPr>
        <w:rPr>
          <w:rFonts w:cs="Calibri"/>
        </w:rPr>
      </w:pPr>
      <w:r>
        <w:rPr>
          <w:rFonts w:cs="Calibri"/>
        </w:rPr>
        <w:t xml:space="preserve">Taft </w:t>
      </w:r>
      <w:r w:rsidRPr="007C3EBF">
        <w:rPr>
          <w:rFonts w:cs="Calibri"/>
        </w:rPr>
        <w:t>College’s E</w:t>
      </w:r>
      <w:r>
        <w:rPr>
          <w:rFonts w:cs="Calibri"/>
        </w:rPr>
        <w:t>M</w:t>
      </w:r>
      <w:r w:rsidRPr="007C3EBF">
        <w:rPr>
          <w:rFonts w:cs="Calibri"/>
        </w:rPr>
        <w:t>P provides the overarching structure for all institutional planning</w:t>
      </w:r>
      <w:r>
        <w:rPr>
          <w:rFonts w:cs="Calibri"/>
        </w:rPr>
        <w:t>. It is</w:t>
      </w:r>
      <w:r w:rsidRPr="007C3EBF">
        <w:rPr>
          <w:rFonts w:cs="Calibri"/>
        </w:rPr>
        <w:t xml:space="preserve"> central to </w:t>
      </w:r>
      <w:r>
        <w:rPr>
          <w:rFonts w:cs="Calibri"/>
        </w:rPr>
        <w:t xml:space="preserve">both </w:t>
      </w:r>
      <w:r w:rsidRPr="007C3EBF">
        <w:rPr>
          <w:rFonts w:cs="Calibri"/>
        </w:rPr>
        <w:t xml:space="preserve">the College’s </w:t>
      </w:r>
      <w:r>
        <w:rPr>
          <w:rFonts w:cs="Calibri"/>
        </w:rPr>
        <w:t>Strategic Enrollment Management Plan under development and the i</w:t>
      </w:r>
      <w:r w:rsidRPr="007C3EBF">
        <w:rPr>
          <w:rFonts w:cs="Calibri"/>
        </w:rPr>
        <w:t>ntegrated planning</w:t>
      </w:r>
      <w:r>
        <w:rPr>
          <w:rFonts w:cs="Calibri"/>
        </w:rPr>
        <w:t xml:space="preserve"> model, </w:t>
      </w:r>
      <w:r w:rsidRPr="007C3EBF">
        <w:rPr>
          <w:rFonts w:cs="Calibri"/>
        </w:rPr>
        <w:t xml:space="preserve">which includes the Strategic </w:t>
      </w:r>
      <w:r>
        <w:rPr>
          <w:rFonts w:cs="Calibri"/>
        </w:rPr>
        <w:t>Action</w:t>
      </w:r>
      <w:r w:rsidRPr="007C3EBF">
        <w:rPr>
          <w:rFonts w:cs="Calibri"/>
        </w:rPr>
        <w:t xml:space="preserve"> Plan, Student Equity Plan, Technology </w:t>
      </w:r>
      <w:r>
        <w:rPr>
          <w:rFonts w:cs="Calibri"/>
        </w:rPr>
        <w:t xml:space="preserve">Master </w:t>
      </w:r>
      <w:r w:rsidRPr="007C3EBF">
        <w:rPr>
          <w:rFonts w:cs="Calibri"/>
        </w:rPr>
        <w:t xml:space="preserve">Plan, Facilities Master Plan, </w:t>
      </w:r>
      <w:r>
        <w:rPr>
          <w:rFonts w:cs="Calibri"/>
        </w:rPr>
        <w:t>and</w:t>
      </w:r>
      <w:r w:rsidRPr="007C3EBF">
        <w:rPr>
          <w:rFonts w:cs="Calibri"/>
        </w:rPr>
        <w:t xml:space="preserve"> Program Review.</w:t>
      </w:r>
    </w:p>
    <w:p w14:paraId="517E4471" w14:textId="7B4180D5" w:rsidR="00613189" w:rsidRDefault="00613189" w:rsidP="00613189">
      <w:pPr>
        <w:spacing w:after="0"/>
        <w:rPr>
          <w:rFonts w:cs="Calibri"/>
        </w:rPr>
      </w:pPr>
      <w:r w:rsidRPr="007C3EBF">
        <w:rPr>
          <w:rFonts w:cs="Calibri"/>
        </w:rPr>
        <w:t xml:space="preserve">The Educational </w:t>
      </w:r>
      <w:r>
        <w:rPr>
          <w:rFonts w:cs="Calibri"/>
        </w:rPr>
        <w:t xml:space="preserve">Master </w:t>
      </w:r>
      <w:r w:rsidRPr="007C3EBF">
        <w:rPr>
          <w:rFonts w:cs="Calibri"/>
        </w:rPr>
        <w:t>Plan was developed through a collegewide planning process that included extensive internal and external data analysis and input from diverse constituent groups and community partners (faculty, staff, students, administrators, and community leaders)</w:t>
      </w:r>
      <w:r w:rsidR="00F30CB7">
        <w:rPr>
          <w:rFonts w:cs="Calibri"/>
        </w:rPr>
        <w:t xml:space="preserve"> prior to adoption by </w:t>
      </w:r>
      <w:r w:rsidR="00F30CB7" w:rsidRPr="00F30CB7">
        <w:rPr>
          <w:rFonts w:cs="Calibri"/>
        </w:rPr>
        <w:t>the Board of Trustees</w:t>
      </w:r>
      <w:r w:rsidR="00F30CB7">
        <w:rPr>
          <w:rFonts w:cs="Calibri"/>
        </w:rPr>
        <w:t>. The following goals are adopted</w:t>
      </w:r>
      <w:r w:rsidR="000A099C">
        <w:rPr>
          <w:rFonts w:cs="Calibri"/>
        </w:rPr>
        <w:t xml:space="preserve"> to guide</w:t>
      </w:r>
      <w:r w:rsidR="008F7E60">
        <w:rPr>
          <w:rFonts w:cs="Calibri"/>
        </w:rPr>
        <w:t xml:space="preserve"> the direction of</w:t>
      </w:r>
      <w:r w:rsidR="000A099C">
        <w:rPr>
          <w:rFonts w:cs="Calibri"/>
        </w:rPr>
        <w:t xml:space="preserve"> Taft College over the next ten years:</w:t>
      </w:r>
    </w:p>
    <w:p w14:paraId="74148CC6" w14:textId="77777777" w:rsidR="00613189" w:rsidRDefault="00613189" w:rsidP="00613189">
      <w:pPr>
        <w:spacing w:after="0"/>
        <w:rPr>
          <w:rFonts w:cs="Calibri"/>
        </w:rPr>
      </w:pPr>
    </w:p>
    <w:p w14:paraId="53696D15" w14:textId="77777777" w:rsidR="00613189" w:rsidRPr="00785E83" w:rsidRDefault="00613189" w:rsidP="00AB5F01">
      <w:pPr>
        <w:tabs>
          <w:tab w:val="left" w:pos="1170"/>
        </w:tabs>
        <w:ind w:left="1620" w:hanging="720"/>
        <w:rPr>
          <w:rFonts w:cs="Calibri"/>
        </w:rPr>
      </w:pPr>
      <w:r w:rsidRPr="00D37688">
        <w:t>Goal 1</w:t>
      </w:r>
      <w:r>
        <w:t xml:space="preserve">: </w:t>
      </w:r>
      <w:r w:rsidRPr="00D37688">
        <w:t xml:space="preserve">Increase </w:t>
      </w:r>
      <w:r>
        <w:t>s</w:t>
      </w:r>
      <w:r w:rsidRPr="00D37688">
        <w:t xml:space="preserve">tudent </w:t>
      </w:r>
      <w:r>
        <w:t>e</w:t>
      </w:r>
      <w:r w:rsidRPr="00D37688">
        <w:t>nrollment</w:t>
      </w:r>
      <w:r>
        <w:t>.</w:t>
      </w:r>
    </w:p>
    <w:p w14:paraId="0E8AA0DD" w14:textId="014CEAA1" w:rsidR="00613189" w:rsidRDefault="00613189" w:rsidP="00AB5F01">
      <w:pPr>
        <w:tabs>
          <w:tab w:val="left" w:pos="1170"/>
        </w:tabs>
        <w:ind w:left="1620" w:hanging="720"/>
      </w:pPr>
      <w:r w:rsidRPr="00D37688">
        <w:t>Goal 2</w:t>
      </w:r>
      <w:r>
        <w:t>:</w:t>
      </w:r>
      <w:r w:rsidR="00E54144" w:rsidRPr="00E54144">
        <w:t xml:space="preserve"> Improve </w:t>
      </w:r>
      <w:r w:rsidR="00CE6CF0">
        <w:t>r</w:t>
      </w:r>
      <w:r w:rsidR="00CE6CF0" w:rsidRPr="00E54144">
        <w:t xml:space="preserve">etention and </w:t>
      </w:r>
      <w:r w:rsidR="00CE6CF0">
        <w:t>s</w:t>
      </w:r>
      <w:r w:rsidR="00CE6CF0" w:rsidRPr="00E54144">
        <w:t>uccess rates including program completion, transfer, and graduation</w:t>
      </w:r>
      <w:r w:rsidR="00CE6CF0">
        <w:t>.</w:t>
      </w:r>
    </w:p>
    <w:p w14:paraId="7749F6C7" w14:textId="3B6DB5E4" w:rsidR="00613189" w:rsidRDefault="00613189" w:rsidP="006C4DBD">
      <w:pPr>
        <w:tabs>
          <w:tab w:val="left" w:pos="1080"/>
          <w:tab w:val="left" w:pos="1170"/>
        </w:tabs>
        <w:ind w:left="1620" w:hanging="720"/>
        <w:rPr>
          <w:rFonts w:ascii="Calibri" w:hAnsi="Calibri" w:cs="Calibri"/>
        </w:rPr>
      </w:pPr>
      <w:r w:rsidRPr="00D37688">
        <w:rPr>
          <w:rFonts w:ascii="Calibri" w:hAnsi="Calibri" w:cs="Calibri"/>
        </w:rPr>
        <w:t xml:space="preserve">Goal </w:t>
      </w:r>
      <w:r>
        <w:rPr>
          <w:rFonts w:ascii="Calibri" w:hAnsi="Calibri" w:cs="Calibri"/>
        </w:rPr>
        <w:t xml:space="preserve">3: </w:t>
      </w:r>
      <w:r w:rsidRPr="00D37688">
        <w:rPr>
          <w:rFonts w:ascii="Calibri" w:hAnsi="Calibri" w:cs="Calibri"/>
        </w:rPr>
        <w:t>Diversify instructional programs and opportunities and enhance community and industry</w:t>
      </w:r>
      <w:r w:rsidR="006C4DBD">
        <w:rPr>
          <w:rFonts w:ascii="Calibri" w:hAnsi="Calibri" w:cs="Calibri"/>
        </w:rPr>
        <w:t xml:space="preserve"> </w:t>
      </w:r>
      <w:r w:rsidRPr="00D37688">
        <w:rPr>
          <w:rFonts w:ascii="Calibri" w:hAnsi="Calibri" w:cs="Calibri"/>
        </w:rPr>
        <w:t>partnerships to support workforce development.</w:t>
      </w:r>
    </w:p>
    <w:p w14:paraId="6B8D2ED8" w14:textId="32D96773" w:rsidR="00613189" w:rsidRDefault="00613189" w:rsidP="00AB5F01">
      <w:pPr>
        <w:tabs>
          <w:tab w:val="left" w:pos="1170"/>
        </w:tabs>
        <w:ind w:left="1620" w:hanging="720"/>
      </w:pPr>
      <w:r w:rsidRPr="00D26BB8">
        <w:t>Goal 4: Position Taft College for long-term sustainability and future growth</w:t>
      </w:r>
      <w:r w:rsidR="00E54144">
        <w:t>.</w:t>
      </w:r>
    </w:p>
    <w:p w14:paraId="224B0CBB" w14:textId="77777777" w:rsidR="00613189" w:rsidRDefault="00613189" w:rsidP="00AB5F01">
      <w:pPr>
        <w:tabs>
          <w:tab w:val="left" w:pos="1170"/>
        </w:tabs>
        <w:spacing w:after="0"/>
        <w:ind w:left="1620" w:hanging="720"/>
        <w:rPr>
          <w:rFonts w:ascii="Calibri" w:hAnsi="Calibri" w:cs="Calibri"/>
        </w:rPr>
      </w:pPr>
      <w:r w:rsidRPr="00D37688">
        <w:rPr>
          <w:rFonts w:ascii="Calibri" w:hAnsi="Calibri" w:cs="Calibri"/>
        </w:rPr>
        <w:t xml:space="preserve">Goal </w:t>
      </w:r>
      <w:r>
        <w:rPr>
          <w:rFonts w:ascii="Calibri" w:hAnsi="Calibri" w:cs="Calibri"/>
        </w:rPr>
        <w:t xml:space="preserve">5: </w:t>
      </w:r>
      <w:r w:rsidRPr="00D37688">
        <w:rPr>
          <w:rFonts w:ascii="Calibri" w:hAnsi="Calibri" w:cs="Calibri"/>
        </w:rPr>
        <w:t>Strengthen a culture of innovation, equity, and institutional excellence.</w:t>
      </w:r>
    </w:p>
    <w:p w14:paraId="343429F1" w14:textId="77777777" w:rsidR="00613189" w:rsidRPr="00D26BB8" w:rsidRDefault="00613189" w:rsidP="00613189">
      <w:pPr>
        <w:spacing w:after="0"/>
        <w:ind w:left="720"/>
        <w:rPr>
          <w:rFonts w:cstheme="minorHAnsi"/>
        </w:rPr>
      </w:pPr>
    </w:p>
    <w:p w14:paraId="710AF9BB" w14:textId="4D1B760A" w:rsidR="003045D5" w:rsidRDefault="003045D5">
      <w:pPr>
        <w:spacing w:after="0"/>
      </w:pPr>
      <w:r>
        <w:br w:type="page"/>
      </w:r>
    </w:p>
    <w:p w14:paraId="6DBCD1A8" w14:textId="77777777" w:rsidR="003045D5" w:rsidRDefault="003045D5" w:rsidP="003045D5">
      <w:pPr>
        <w:pStyle w:val="Heading1"/>
      </w:pPr>
      <w:bookmarkStart w:id="12" w:name="_Toc190360688"/>
      <w:bookmarkStart w:id="13" w:name="_Toc194931222"/>
      <w:bookmarkStart w:id="14" w:name="_Toc194931547"/>
      <w:r>
        <w:lastRenderedPageBreak/>
        <w:t>President’s Message</w:t>
      </w:r>
      <w:bookmarkEnd w:id="12"/>
      <w:bookmarkEnd w:id="13"/>
      <w:bookmarkEnd w:id="14"/>
    </w:p>
    <w:p w14:paraId="7FC41762" w14:textId="77777777" w:rsidR="003045D5" w:rsidRDefault="003045D5" w:rsidP="003045D5">
      <w:pPr>
        <w:spacing w:after="0"/>
        <w:rPr>
          <w:szCs w:val="22"/>
        </w:rPr>
      </w:pPr>
    </w:p>
    <w:p w14:paraId="20C20676" w14:textId="77777777" w:rsidR="003045D5" w:rsidRPr="001758D4" w:rsidRDefault="003045D5" w:rsidP="003045D5">
      <w:pPr>
        <w:spacing w:after="0"/>
        <w:rPr>
          <w:szCs w:val="22"/>
        </w:rPr>
      </w:pPr>
      <w:r w:rsidRPr="001758D4">
        <w:rPr>
          <w:szCs w:val="22"/>
        </w:rPr>
        <w:t>Dear Colleagues,</w:t>
      </w:r>
    </w:p>
    <w:p w14:paraId="4E7E9A15" w14:textId="6EA61D2D" w:rsidR="003045D5" w:rsidRDefault="003045D5" w:rsidP="003045D5">
      <w:pPr>
        <w:spacing w:after="0"/>
        <w:rPr>
          <w:szCs w:val="22"/>
        </w:rPr>
      </w:pPr>
      <w:r w:rsidRPr="001758D4">
        <w:rPr>
          <w:szCs w:val="22"/>
        </w:rPr>
        <w:t xml:space="preserve">On behalf of the West Kern Community College District (WKCCD), I am pleased to present the Taft College Educational Master Plan (EMP) 2025-2035. After celebrating successful service to more than one million students over 100 years in 2022 and navigating through the devastating, global </w:t>
      </w:r>
      <w:r w:rsidR="00BC2144">
        <w:rPr>
          <w:szCs w:val="22"/>
        </w:rPr>
        <w:t>COVID-19 pandemic</w:t>
      </w:r>
      <w:r w:rsidRPr="001758D4">
        <w:rPr>
          <w:szCs w:val="22"/>
        </w:rPr>
        <w:t xml:space="preserve"> in 2023, Taft College has reflected deeply on a myriad of important ideas, metrics, processes, and procedures to develop this 10-year plan over the 2024-25 academic year. It is the direct synthesis of painstaking efforts by faculty, staff, and students, members of our local community, and partners in community college integrated planning. The importance of this document cannot be </w:t>
      </w:r>
      <w:proofErr w:type="gramStart"/>
      <w:r w:rsidRPr="001758D4">
        <w:rPr>
          <w:szCs w:val="22"/>
        </w:rPr>
        <w:t>overstated—it</w:t>
      </w:r>
      <w:proofErr w:type="gramEnd"/>
      <w:r w:rsidRPr="001758D4">
        <w:rPr>
          <w:szCs w:val="22"/>
        </w:rPr>
        <w:t xml:space="preserve"> is the road map by which Taft College will set itself up for continued student learning and success and to capitalize on the momentum of enrollment gains in Spring Semester 2025.  </w:t>
      </w:r>
    </w:p>
    <w:p w14:paraId="69EA00D3" w14:textId="77777777" w:rsidR="003045D5" w:rsidRPr="001758D4" w:rsidRDefault="003045D5" w:rsidP="003045D5">
      <w:pPr>
        <w:spacing w:after="0"/>
        <w:rPr>
          <w:szCs w:val="22"/>
        </w:rPr>
      </w:pPr>
    </w:p>
    <w:p w14:paraId="512E9FC1" w14:textId="77777777" w:rsidR="003045D5" w:rsidRDefault="003045D5" w:rsidP="003045D5">
      <w:pPr>
        <w:spacing w:after="0"/>
        <w:rPr>
          <w:szCs w:val="22"/>
        </w:rPr>
      </w:pPr>
      <w:r w:rsidRPr="001758D4">
        <w:rPr>
          <w:szCs w:val="22"/>
        </w:rPr>
        <w:t xml:space="preserve">While the pandemic showed us that faculty, staff, and students are capable of resiliency while enduring constant change, learning new modalities, and trying to stay safe, it further exposed the vulnerability of our historically underserved and marginalized students, as well as the digital divide. To confront these inequities, the College will further endeavor to close historic equity gaps in service to a student body with diverse experiences, backgrounds, and educational goals. Taft College is committed to building back better and stronger by ensuring all students receive an equal educational opportunity that meets their goals, providing in-demand educational programs leading to higher earnings, and expanding our high-quality student support services for which our College is widely known. </w:t>
      </w:r>
    </w:p>
    <w:p w14:paraId="04B387AF" w14:textId="77777777" w:rsidR="003045D5" w:rsidRPr="001758D4" w:rsidRDefault="003045D5" w:rsidP="003045D5">
      <w:pPr>
        <w:spacing w:after="0"/>
        <w:rPr>
          <w:szCs w:val="22"/>
        </w:rPr>
      </w:pPr>
    </w:p>
    <w:p w14:paraId="7668EC82" w14:textId="77777777" w:rsidR="003045D5" w:rsidRDefault="003045D5" w:rsidP="003045D5">
      <w:pPr>
        <w:spacing w:after="0"/>
        <w:rPr>
          <w:szCs w:val="22"/>
        </w:rPr>
      </w:pPr>
      <w:r w:rsidRPr="001758D4">
        <w:rPr>
          <w:szCs w:val="22"/>
        </w:rPr>
        <w:t>Sincere thanks to the various contributors on this important undertaking, especially the EMP Committee for their many hours dedicated to getting this document over the finish line. Committee members and key campus stakeholders thoroughly examined college and regional data gathered through an internal and external environmental scan, identified needs of business, industry, and the community, and formulated goals, objectives, and initiatives to drive Taft College forward.</w:t>
      </w:r>
    </w:p>
    <w:p w14:paraId="32463050" w14:textId="77777777" w:rsidR="003045D5" w:rsidRPr="001758D4" w:rsidRDefault="003045D5" w:rsidP="003045D5">
      <w:pPr>
        <w:spacing w:after="0"/>
        <w:rPr>
          <w:szCs w:val="22"/>
        </w:rPr>
      </w:pPr>
    </w:p>
    <w:p w14:paraId="49B834EB" w14:textId="77777777" w:rsidR="003045D5" w:rsidRDefault="003045D5" w:rsidP="003045D5">
      <w:pPr>
        <w:spacing w:after="0"/>
        <w:rPr>
          <w:szCs w:val="22"/>
        </w:rPr>
      </w:pPr>
      <w:r w:rsidRPr="001758D4">
        <w:rPr>
          <w:szCs w:val="22"/>
        </w:rPr>
        <w:t xml:space="preserve">This Taft College EMP provides the foundation on which all other planning documents will rely and is the central reference point for comprehensive program review, student learning outcomes, and resource allocation over the next decade. Taft College plans to increase enrollment, improve outcomes for key student populations, and measure our progress along the way. </w:t>
      </w:r>
    </w:p>
    <w:p w14:paraId="3AD2FCA1" w14:textId="77777777" w:rsidR="003045D5" w:rsidRPr="001758D4" w:rsidRDefault="003045D5" w:rsidP="003045D5">
      <w:pPr>
        <w:spacing w:after="0"/>
        <w:rPr>
          <w:szCs w:val="22"/>
        </w:rPr>
      </w:pPr>
    </w:p>
    <w:p w14:paraId="4B327D7C" w14:textId="77777777" w:rsidR="003045D5" w:rsidRDefault="003045D5" w:rsidP="003045D5">
      <w:pPr>
        <w:spacing w:after="0"/>
        <w:rPr>
          <w:szCs w:val="22"/>
        </w:rPr>
      </w:pPr>
      <w:r w:rsidRPr="001758D4">
        <w:rPr>
          <w:szCs w:val="22"/>
        </w:rPr>
        <w:t xml:space="preserve">Again, my gratitude goes out to faculty, classified staff, managers, administrators, and students who shepherded this plan through its many stages of creation, review, and revision. By asking students to participate in this process, Taft College incorporated student voices and perspectives and made this planning process collaborative, inclusive, and best of all, student-centered. </w:t>
      </w:r>
    </w:p>
    <w:p w14:paraId="6B04E572" w14:textId="77777777" w:rsidR="003045D5" w:rsidRDefault="003045D5" w:rsidP="003045D5">
      <w:pPr>
        <w:spacing w:after="0"/>
        <w:rPr>
          <w:szCs w:val="22"/>
        </w:rPr>
      </w:pPr>
    </w:p>
    <w:p w14:paraId="35E339BB" w14:textId="77777777" w:rsidR="003045D5" w:rsidRPr="001758D4" w:rsidRDefault="003045D5" w:rsidP="003045D5">
      <w:pPr>
        <w:spacing w:after="0"/>
        <w:rPr>
          <w:szCs w:val="22"/>
        </w:rPr>
      </w:pPr>
      <w:r w:rsidRPr="001758D4">
        <w:rPr>
          <w:szCs w:val="22"/>
        </w:rPr>
        <w:t>Sincerely,</w:t>
      </w:r>
    </w:p>
    <w:p w14:paraId="692A8363" w14:textId="77777777" w:rsidR="003045D5" w:rsidRPr="001758D4" w:rsidRDefault="003045D5" w:rsidP="003045D5">
      <w:pPr>
        <w:spacing w:after="0"/>
        <w:rPr>
          <w:szCs w:val="22"/>
        </w:rPr>
      </w:pPr>
      <w:r w:rsidRPr="001758D4">
        <w:rPr>
          <w:szCs w:val="22"/>
        </w:rPr>
        <w:t>Dr. Leslie Minor</w:t>
      </w:r>
    </w:p>
    <w:p w14:paraId="318C4842" w14:textId="1EFF5F9C" w:rsidR="003045D5" w:rsidRDefault="003045D5" w:rsidP="003045D5">
      <w:r w:rsidRPr="001758D4">
        <w:rPr>
          <w:szCs w:val="22"/>
        </w:rPr>
        <w:t>Interim Superintendent/President</w:t>
      </w:r>
    </w:p>
    <w:p w14:paraId="5290A664" w14:textId="6BA2EDED" w:rsidR="00C141D5" w:rsidRDefault="00C141D5">
      <w:pPr>
        <w:spacing w:after="0"/>
        <w:rPr>
          <w:rFonts w:asciiTheme="majorHAnsi" w:eastAsiaTheme="majorEastAsia" w:hAnsiTheme="majorHAnsi" w:cstheme="majorBidi"/>
          <w:b/>
          <w:bCs/>
          <w:color w:val="1F3864" w:themeColor="accent1" w:themeShade="80"/>
          <w:sz w:val="32"/>
          <w:szCs w:val="32"/>
        </w:rPr>
      </w:pPr>
      <w:r>
        <w:br w:type="page"/>
      </w:r>
    </w:p>
    <w:p w14:paraId="1EC97915" w14:textId="77777777" w:rsidR="00372F7D" w:rsidRDefault="00372F7D" w:rsidP="00372F7D">
      <w:pPr>
        <w:pStyle w:val="Heading1"/>
      </w:pPr>
      <w:bookmarkStart w:id="15" w:name="_Toc194931223"/>
      <w:bookmarkStart w:id="16" w:name="_Toc194931548"/>
      <w:r>
        <w:lastRenderedPageBreak/>
        <w:t>Educational Master Plan Development Process</w:t>
      </w:r>
      <w:bookmarkEnd w:id="15"/>
      <w:bookmarkEnd w:id="16"/>
    </w:p>
    <w:p w14:paraId="3236DB71" w14:textId="77777777" w:rsidR="00372F7D" w:rsidRDefault="00372F7D" w:rsidP="00372F7D">
      <w:pPr>
        <w:spacing w:before="240"/>
      </w:pPr>
      <w:r>
        <w:t xml:space="preserve">The Taft College Governance Council (GC) </w:t>
      </w:r>
      <w:r w:rsidRPr="00B6038A">
        <w:rPr>
          <w:rFonts w:cstheme="minorHAnsi"/>
          <w:color w:val="0A0A0A"/>
          <w:szCs w:val="22"/>
          <w:shd w:val="clear" w:color="auto" w:fill="FEFEFE"/>
        </w:rPr>
        <w:t>is primarily responsible for setting the vision, mission, and long-term goals of the entire college</w:t>
      </w:r>
      <w:r>
        <w:rPr>
          <w:rFonts w:cstheme="minorHAnsi"/>
          <w:color w:val="0A0A0A"/>
          <w:szCs w:val="22"/>
          <w:shd w:val="clear" w:color="auto" w:fill="FEFEFE"/>
        </w:rPr>
        <w:t>,</w:t>
      </w:r>
      <w:r w:rsidRPr="00B6038A">
        <w:rPr>
          <w:rFonts w:cstheme="minorHAnsi"/>
          <w:color w:val="0A0A0A"/>
          <w:szCs w:val="22"/>
          <w:shd w:val="clear" w:color="auto" w:fill="FEFEFE"/>
        </w:rPr>
        <w:t xml:space="preserve"> as well as identifying college</w:t>
      </w:r>
      <w:r>
        <w:rPr>
          <w:rFonts w:cstheme="minorHAnsi"/>
          <w:color w:val="0A0A0A"/>
          <w:szCs w:val="22"/>
          <w:shd w:val="clear" w:color="auto" w:fill="FEFEFE"/>
        </w:rPr>
        <w:t>-</w:t>
      </w:r>
      <w:r w:rsidRPr="00B6038A">
        <w:rPr>
          <w:rFonts w:cstheme="minorHAnsi"/>
          <w:color w:val="0A0A0A"/>
          <w:szCs w:val="22"/>
          <w:shd w:val="clear" w:color="auto" w:fill="FEFEFE"/>
        </w:rPr>
        <w:t>level outcomes as measurements toward those goals. In all its actions, the Council</w:t>
      </w:r>
      <w:r>
        <w:rPr>
          <w:rFonts w:cstheme="minorHAnsi"/>
          <w:color w:val="0A0A0A"/>
          <w:szCs w:val="22"/>
          <w:shd w:val="clear" w:color="auto" w:fill="FEFEFE"/>
        </w:rPr>
        <w:t xml:space="preserve"> </w:t>
      </w:r>
      <w:r w:rsidRPr="00B6038A">
        <w:rPr>
          <w:rFonts w:cstheme="minorHAnsi"/>
          <w:color w:val="0A0A0A"/>
          <w:szCs w:val="22"/>
          <w:shd w:val="clear" w:color="auto" w:fill="FEFEFE"/>
        </w:rPr>
        <w:t>place</w:t>
      </w:r>
      <w:r>
        <w:rPr>
          <w:rFonts w:cstheme="minorHAnsi"/>
          <w:color w:val="0A0A0A"/>
          <w:szCs w:val="22"/>
          <w:shd w:val="clear" w:color="auto" w:fill="FEFEFE"/>
        </w:rPr>
        <w:t>s</w:t>
      </w:r>
      <w:r w:rsidRPr="00B6038A">
        <w:rPr>
          <w:rFonts w:cstheme="minorHAnsi"/>
          <w:color w:val="0A0A0A"/>
          <w:szCs w:val="22"/>
          <w:shd w:val="clear" w:color="auto" w:fill="FEFEFE"/>
        </w:rPr>
        <w:t xml:space="preserve"> the highest value on building communication and trust with the entire college community and us</w:t>
      </w:r>
      <w:r>
        <w:rPr>
          <w:rFonts w:cstheme="minorHAnsi"/>
          <w:color w:val="0A0A0A"/>
          <w:szCs w:val="22"/>
          <w:shd w:val="clear" w:color="auto" w:fill="FEFEFE"/>
        </w:rPr>
        <w:t>es</w:t>
      </w:r>
      <w:r w:rsidRPr="00B6038A">
        <w:rPr>
          <w:rFonts w:cstheme="minorHAnsi"/>
          <w:color w:val="0A0A0A"/>
          <w:szCs w:val="22"/>
          <w:shd w:val="clear" w:color="auto" w:fill="FEFEFE"/>
        </w:rPr>
        <w:t xml:space="preserve"> consensus to reach its decisi</w:t>
      </w:r>
      <w:r>
        <w:rPr>
          <w:rFonts w:cstheme="minorHAnsi"/>
          <w:color w:val="0A0A0A"/>
          <w:szCs w:val="22"/>
          <w:shd w:val="clear" w:color="auto" w:fill="FEFEFE"/>
        </w:rPr>
        <w:t xml:space="preserve">ons. The GC is a cross-functional group comprising the Superintendent/President and faculty, classified, and management across instruction, student services, and administrative services areas, as well as student representatives. The Superintendent/President and Faculty Academic Senate President co-chair the GC. The GC served as the Educational Master Plan Committee (EMPC) as the College embarked upon the development of the ten-year Educational Master Plan (EMP). </w:t>
      </w:r>
      <w:r>
        <w:t xml:space="preserve">With the technical support of a national community college educational consulting firm, the College began a ten-month, three-phase project for plan development, as listed below. </w:t>
      </w:r>
    </w:p>
    <w:p w14:paraId="7D8D5C75" w14:textId="77777777" w:rsidR="00372F7D" w:rsidRDefault="00372F7D" w:rsidP="00372F7D">
      <w:pPr>
        <w:pStyle w:val="ListParagraph"/>
        <w:numPr>
          <w:ilvl w:val="0"/>
          <w:numId w:val="25"/>
        </w:numPr>
      </w:pPr>
      <w:r>
        <w:t>Phase I:</w:t>
      </w:r>
      <w:r>
        <w:tab/>
      </w:r>
      <w:r>
        <w:tab/>
        <w:t xml:space="preserve">Discovery Phase: Data Collection, Analysis, and Synthesis </w:t>
      </w:r>
    </w:p>
    <w:p w14:paraId="3320EF9D" w14:textId="77777777" w:rsidR="00372F7D" w:rsidRDefault="00372F7D" w:rsidP="00372F7D">
      <w:pPr>
        <w:pStyle w:val="ListParagraph"/>
        <w:numPr>
          <w:ilvl w:val="0"/>
          <w:numId w:val="25"/>
        </w:numPr>
      </w:pPr>
      <w:r>
        <w:t>Phase II:</w:t>
      </w:r>
      <w:r>
        <w:tab/>
        <w:t>Portfolio Development and Planning Assumptions</w:t>
      </w:r>
    </w:p>
    <w:p w14:paraId="11951E4C" w14:textId="77777777" w:rsidR="00372F7D" w:rsidRDefault="00372F7D" w:rsidP="00372F7D">
      <w:pPr>
        <w:pStyle w:val="ListParagraph"/>
        <w:numPr>
          <w:ilvl w:val="0"/>
          <w:numId w:val="25"/>
        </w:numPr>
      </w:pPr>
      <w:r>
        <w:t>Phase III:</w:t>
      </w:r>
      <w:r>
        <w:tab/>
        <w:t>Goal-Setting and Recommendations</w:t>
      </w:r>
    </w:p>
    <w:p w14:paraId="20B80F4C" w14:textId="77777777" w:rsidR="00372F7D" w:rsidRDefault="00372F7D" w:rsidP="00372F7D">
      <w:pPr>
        <w:pStyle w:val="Heading2"/>
      </w:pPr>
      <w:bookmarkStart w:id="17" w:name="_Toc117596328"/>
      <w:bookmarkStart w:id="18" w:name="_Toc194931224"/>
      <w:bookmarkStart w:id="19" w:name="_Toc194931549"/>
      <w:r>
        <w:t>Phase I:  Discovery Phase: Data Collection, Analysis, and Synthesis</w:t>
      </w:r>
      <w:bookmarkEnd w:id="17"/>
      <w:bookmarkEnd w:id="18"/>
      <w:bookmarkEnd w:id="19"/>
    </w:p>
    <w:p w14:paraId="502F873D" w14:textId="77777777" w:rsidR="00372F7D" w:rsidRPr="007F721A" w:rsidRDefault="00372F7D" w:rsidP="00372F7D">
      <w:pPr>
        <w:rPr>
          <w:color w:val="C00000"/>
        </w:rPr>
      </w:pPr>
      <w:r>
        <w:t xml:space="preserve">Extensive quantitative and qualitative data were gathered, analyzed, and synthesized during this first phase of development of the EMP. Document review included examining program review results, reviewing minutes from meetings and correspondence from accreditation reports and visits, and studying current planning efforts underway at the College. Both internal data on the College and its students and external data on the region and workforce were examined. Interviews and listening sessions were held internally with students and constituent groups, and externally with educational and other partners and stakeholders. A review of national, state, and regional trends was conducted, and local and regional workforce data and information were examined. The following infographic summarizes the four data sources for the Discovery Phase. </w:t>
      </w:r>
    </w:p>
    <w:p w14:paraId="4A640494" w14:textId="77777777" w:rsidR="00372F7D" w:rsidRDefault="00372F7D" w:rsidP="00372F7D">
      <w:pPr>
        <w:jc w:val="center"/>
      </w:pPr>
    </w:p>
    <w:p w14:paraId="7A107E4D" w14:textId="77777777" w:rsidR="00372F7D" w:rsidRDefault="00372F7D" w:rsidP="00372F7D">
      <w:pPr>
        <w:jc w:val="center"/>
      </w:pPr>
      <w:r w:rsidRPr="005D3757">
        <w:rPr>
          <w:rFonts w:ascii="Calibri" w:hAnsi="Calibri"/>
          <w:noProof/>
          <w:shd w:val="clear" w:color="auto" w:fill="D9E2F3"/>
        </w:rPr>
        <w:drawing>
          <wp:inline distT="0" distB="0" distL="0" distR="0" wp14:anchorId="3BD019F0" wp14:editId="397FD252">
            <wp:extent cx="5885906" cy="1365885"/>
            <wp:effectExtent l="0" t="0" r="19685" b="2476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5CA3653" w14:textId="77777777" w:rsidR="00372F7D" w:rsidRDefault="00372F7D" w:rsidP="00372F7D">
      <w:pPr>
        <w:jc w:val="center"/>
      </w:pPr>
    </w:p>
    <w:p w14:paraId="1992ECCA" w14:textId="77777777" w:rsidR="00372F7D" w:rsidRPr="00AE08AF" w:rsidRDefault="00372F7D" w:rsidP="00372F7D">
      <w:pPr>
        <w:rPr>
          <w:color w:val="C00000"/>
        </w:rPr>
      </w:pPr>
      <w:bookmarkStart w:id="20" w:name="_Toc117596329"/>
      <w:r>
        <w:rPr>
          <w:color w:val="000000" w:themeColor="text1"/>
        </w:rPr>
        <w:t>The analysis and synthesis of quantitative data revealed trends and planning assumptions for plan development. Qualitative data garnered from interviews and listening sessions were reviewed, and emerging themes were identified.</w:t>
      </w:r>
    </w:p>
    <w:p w14:paraId="3492C4AB" w14:textId="77777777" w:rsidR="00372F7D" w:rsidRDefault="00372F7D" w:rsidP="00372F7D">
      <w:pPr>
        <w:pStyle w:val="Heading2"/>
      </w:pPr>
      <w:bookmarkStart w:id="21" w:name="_Toc194931225"/>
      <w:bookmarkStart w:id="22" w:name="_Toc194931550"/>
      <w:r>
        <w:t>Phase II:  Portfolio Development and Planning Assumptions</w:t>
      </w:r>
      <w:bookmarkEnd w:id="20"/>
      <w:bookmarkEnd w:id="21"/>
      <w:bookmarkEnd w:id="22"/>
    </w:p>
    <w:p w14:paraId="7D8FB24D" w14:textId="77777777" w:rsidR="00372F7D" w:rsidRPr="00AE08AF" w:rsidRDefault="00372F7D" w:rsidP="00372F7D">
      <w:pPr>
        <w:rPr>
          <w:color w:val="C00000"/>
        </w:rPr>
      </w:pPr>
      <w:r>
        <w:t xml:space="preserve">In Phase II, the results from Phase I formed the Data Portfolio and framed planning assumptions for plan development. A high-level Strengths, Opportunities, Aspirations, and Results (SOAR) analysis was conducted to identify challenges and opportunities for Taft College for the next ten years, and to lay the foundation for goal-setting in Phase III. </w:t>
      </w:r>
    </w:p>
    <w:p w14:paraId="0CB8408B" w14:textId="77777777" w:rsidR="00372F7D" w:rsidRDefault="00372F7D" w:rsidP="00372F7D">
      <w:pPr>
        <w:pStyle w:val="Heading2"/>
      </w:pPr>
      <w:bookmarkStart w:id="23" w:name="_Toc117596330"/>
      <w:bookmarkStart w:id="24" w:name="_Toc194931226"/>
      <w:bookmarkStart w:id="25" w:name="_Toc194931551"/>
      <w:r>
        <w:lastRenderedPageBreak/>
        <w:t>Phase III:  Goal-Setting</w:t>
      </w:r>
      <w:bookmarkEnd w:id="23"/>
      <w:r>
        <w:t xml:space="preserve"> and Recommendations</w:t>
      </w:r>
      <w:bookmarkEnd w:id="24"/>
      <w:bookmarkEnd w:id="25"/>
    </w:p>
    <w:p w14:paraId="1390BEAF" w14:textId="77777777" w:rsidR="00372F7D" w:rsidRDefault="00372F7D" w:rsidP="00372F7D">
      <w:r>
        <w:t xml:space="preserve">The activities from Phases I and II provided a framework for dialogue among EMPC members for the Phase III goal-setting session. The committee met for a six-hour goal-setting session to draft a set of goals and objectives to provide direction for the College for the next ten years. The framework of goals and objectives was added to the draft Educational Master Plan along with recommendations for the next steps for plan implementation, monitoring, and evaluation. </w:t>
      </w:r>
    </w:p>
    <w:p w14:paraId="32EFFD2B" w14:textId="77777777" w:rsidR="00372F7D" w:rsidRDefault="00372F7D" w:rsidP="00372F7D">
      <w:r>
        <w:t xml:space="preserve">Upon completion of the three phases of plan development, the draft </w:t>
      </w:r>
      <w:r w:rsidRPr="00BB2B8D">
        <w:rPr>
          <w:i/>
          <w:iCs/>
        </w:rPr>
        <w:t>Taft College Educational Master Plan 2025-2035</w:t>
      </w:r>
      <w:r>
        <w:rPr>
          <w:i/>
          <w:iCs/>
        </w:rPr>
        <w:t xml:space="preserve"> </w:t>
      </w:r>
      <w:r>
        <w:t>was shared with college constituents for review and feedback. The Governance Council then provided recommendations to the Superintendent/President, and the resulting document was provided to the Board of Trustees for its consideration for adoption.</w:t>
      </w:r>
    </w:p>
    <w:p w14:paraId="14A87451" w14:textId="77777777" w:rsidR="00E4440A" w:rsidRDefault="00E4440A">
      <w:pPr>
        <w:spacing w:after="0"/>
        <w:rPr>
          <w:rFonts w:asciiTheme="majorHAnsi" w:eastAsiaTheme="majorEastAsia" w:hAnsiTheme="majorHAnsi" w:cstheme="majorBidi"/>
          <w:b/>
          <w:bCs/>
          <w:color w:val="1F3864" w:themeColor="accent1" w:themeShade="80"/>
          <w:sz w:val="32"/>
          <w:szCs w:val="32"/>
        </w:rPr>
      </w:pPr>
      <w:r>
        <w:br w:type="page"/>
      </w:r>
    </w:p>
    <w:p w14:paraId="14E6AA40" w14:textId="4685C377" w:rsidR="00B739D6" w:rsidRDefault="00C15415" w:rsidP="008B0BDA">
      <w:pPr>
        <w:pStyle w:val="Heading1"/>
        <w:spacing w:after="0"/>
      </w:pPr>
      <w:bookmarkStart w:id="26" w:name="_Toc194931227"/>
      <w:bookmarkStart w:id="27" w:name="_Toc194931552"/>
      <w:r>
        <w:lastRenderedPageBreak/>
        <w:t>College</w:t>
      </w:r>
      <w:r w:rsidR="00A74D3C">
        <w:t xml:space="preserve"> Profile</w:t>
      </w:r>
      <w:bookmarkEnd w:id="26"/>
      <w:bookmarkEnd w:id="27"/>
    </w:p>
    <w:p w14:paraId="181E9167" w14:textId="66E07286" w:rsidR="00C05CFB" w:rsidRPr="00C05CFB" w:rsidRDefault="00D23A2F" w:rsidP="00120B3A">
      <w:pPr>
        <w:pStyle w:val="Heading2"/>
      </w:pPr>
      <w:bookmarkStart w:id="28" w:name="_Toc194931228"/>
      <w:bookmarkStart w:id="29" w:name="_Toc194931553"/>
      <w:r>
        <w:t>History</w:t>
      </w:r>
      <w:bookmarkEnd w:id="28"/>
      <w:bookmarkEnd w:id="29"/>
    </w:p>
    <w:p w14:paraId="5E74F6A5" w14:textId="7B6A3676" w:rsidR="00B739D6" w:rsidRDefault="00B739D6" w:rsidP="00B739D6">
      <w:r w:rsidRPr="00B739D6">
        <w:t>Taft College was founded on August 30, 1922, as Taft Junior College. Approved for creation by the Taft Union High School Board, which was formed in 1920, the new junior college was deemed necessary to keep up with the demands of a dramatically increasing population in Taft, California. In eight years, the population had grown from 1,650 to 4,000.</w:t>
      </w:r>
    </w:p>
    <w:p w14:paraId="79280C1D" w14:textId="7E151858" w:rsidR="000474AD" w:rsidRDefault="000474AD" w:rsidP="000474AD">
      <w:pPr>
        <w:pStyle w:val="BodyText"/>
      </w:pPr>
      <w:r>
        <w:t>Approximately 12 Taft Junior College students took classes on the high school’s property in the first year. In October of 1947, the Taft Union High School District Board purchased and renovated buildings left over from the United States Army Corps World War II training facility at the defunct Gardner and Minter Fields. Taft Junior College moved to this new location the following year.</w:t>
      </w:r>
    </w:p>
    <w:p w14:paraId="28972B33" w14:textId="77777777" w:rsidR="000474AD" w:rsidRDefault="000474AD" w:rsidP="000474AD">
      <w:pPr>
        <w:pStyle w:val="BodyText"/>
      </w:pPr>
      <w:r>
        <w:t>With the local population swelling to 16,000 by 1954 and Taft Junior College enrollment increasing, the Taft Union High School District Board approved preliminary plans for a new campus in July 1954 and officially changed the school’s name to Taft College. On September 11, 1956, the new campus opened at 29 Emmons Park Drive in Taft, California. The address was later changed to 29 Cougar Court.</w:t>
      </w:r>
    </w:p>
    <w:p w14:paraId="086EAAD2" w14:textId="77777777" w:rsidR="000474AD" w:rsidRDefault="000474AD" w:rsidP="000474AD">
      <w:pPr>
        <w:pStyle w:val="BodyText"/>
      </w:pPr>
      <w:r>
        <w:t>When local voters overwhelmingly approved Taft Junior College District, the college separated completely from Taft Union High School District in 1962. Taft Junior College District became West Kern Junior College District in 1963 and was renamed West Kern Community College District (WKCCD) in 1971.</w:t>
      </w:r>
    </w:p>
    <w:p w14:paraId="62E50145" w14:textId="7CF82AE5" w:rsidR="000474AD" w:rsidRDefault="000474AD" w:rsidP="000474AD">
      <w:pPr>
        <w:pStyle w:val="BodyText"/>
      </w:pPr>
      <w:r>
        <w:t>Student residence hall construction began in 1962. One year later, Taft College became one of very few California Community Colleges to have on-campus residence halls. Campus development continued. The new Science Building opened in 1966 and was followed by the Technical Arts Building the following year. The Vocational Technologies Building and Library Annex were completed in 1969 and 1970, respectively. The new Cougar Sports Center was added in 1981. The Dental Hygiene Program opened in 1993 and still operates a dental hygiene clinic open to the public.</w:t>
      </w:r>
    </w:p>
    <w:p w14:paraId="0E61D345" w14:textId="4D947B2B" w:rsidR="00B739D6" w:rsidRPr="00B739D6" w:rsidRDefault="000474AD" w:rsidP="000474AD">
      <w:pPr>
        <w:pStyle w:val="BodyText"/>
      </w:pPr>
      <w:r>
        <w:t>In 2004, voters approved a $39.8 million, 30-year bond to finance the renovation of existing facilities and expansion of the college. The West Kern Community College District Board of Trustees approved the formation of a Bond Oversight Committee in May 2024 to keep the public informed of expenditures. In addition to modernizing the Science Building, Technical Arts Building, Courtyard, and Residence Halls, new structures included the Children’s Center, Library, Learning Resource Center, STEM Building, Student Services Administration Building, Maintenance and Operations Facility, and the Center for Independent Living (CIL). The last bond-financed project, the award-winning Student Center, was completed in 2021.</w:t>
      </w:r>
      <w:r w:rsidR="00B739D6" w:rsidRPr="00B739D6">
        <w:t xml:space="preserve">Since 1976, Taft College has offered programs and special classes serving individuals with developmental </w:t>
      </w:r>
      <w:r w:rsidR="004F1170">
        <w:t xml:space="preserve">or intellectual </w:t>
      </w:r>
      <w:r w:rsidR="00B739D6" w:rsidRPr="00B739D6">
        <w:t>disabilities. In 1995, with funding from Kern Regional Center, Taft College began its Transition to Independent Living (TIL) Program, a post-secondary educational experience for young adults with developmental disabilities that also offers a residential experience, where they receive training to handle living on their own.</w:t>
      </w:r>
    </w:p>
    <w:p w14:paraId="59F2C8EB" w14:textId="615BBBD7" w:rsidR="00B739D6" w:rsidRPr="00B739D6" w:rsidRDefault="00B739D6" w:rsidP="00B739D6">
      <w:r w:rsidRPr="00B739D6">
        <w:t xml:space="preserve">Taft College welcomed more than 6,000 enrolled students in 2011. </w:t>
      </w:r>
      <w:r w:rsidRPr="00187AE4">
        <w:t>By 202</w:t>
      </w:r>
      <w:r w:rsidR="0021354D" w:rsidRPr="00187AE4">
        <w:t>4</w:t>
      </w:r>
      <w:r w:rsidRPr="00187AE4">
        <w:t xml:space="preserve">, </w:t>
      </w:r>
      <w:r w:rsidR="00F4120C" w:rsidRPr="00187AE4">
        <w:t xml:space="preserve">it offered more than </w:t>
      </w:r>
      <w:r w:rsidR="00187AE4" w:rsidRPr="00187AE4">
        <w:t>8</w:t>
      </w:r>
      <w:r w:rsidR="00F4120C" w:rsidRPr="00187AE4">
        <w:t>5 degree and certificate programs</w:t>
      </w:r>
      <w:r w:rsidR="0021354D" w:rsidRPr="00187AE4">
        <w:t>,</w:t>
      </w:r>
      <w:r w:rsidR="0021354D">
        <w:t xml:space="preserve"> including a </w:t>
      </w:r>
      <w:r w:rsidR="003066FE">
        <w:t xml:space="preserve">Baccalaureate degree in Dental Hygiene </w:t>
      </w:r>
      <w:r w:rsidR="003066FE" w:rsidRPr="003066FE">
        <w:t>Administration</w:t>
      </w:r>
      <w:r w:rsidR="003066FE">
        <w:t>.</w:t>
      </w:r>
      <w:r w:rsidR="00F4120C">
        <w:t xml:space="preserve"> These innovative programs are available at a fraction of the cost of state and private colleges</w:t>
      </w:r>
      <w:r w:rsidR="000E606D">
        <w:t xml:space="preserve"> and universities</w:t>
      </w:r>
      <w:r w:rsidR="00F4120C">
        <w:t>. Interest continues to grow for remote learning options, and by 202</w:t>
      </w:r>
      <w:r w:rsidR="003066FE">
        <w:t>4</w:t>
      </w:r>
      <w:r w:rsidR="00F4120C">
        <w:t>, hundreds of students seeking flexibility took advantage of Taft College’s Distance Education for online and offline</w:t>
      </w:r>
      <w:r w:rsidRPr="00B739D6">
        <w:t xml:space="preserve"> classes.</w:t>
      </w:r>
    </w:p>
    <w:p w14:paraId="5212CAD1" w14:textId="05A171C8" w:rsidR="00B739D6" w:rsidRPr="00B739D6" w:rsidRDefault="00B739D6" w:rsidP="00B739D6">
      <w:r w:rsidRPr="005A4DC0">
        <w:t xml:space="preserve">With </w:t>
      </w:r>
      <w:r w:rsidR="005A4DC0" w:rsidRPr="005A4DC0">
        <w:t xml:space="preserve">a </w:t>
      </w:r>
      <w:r w:rsidRPr="005A4DC0">
        <w:t xml:space="preserve">Transfer Admission Guarantee agreements, students awarded a degree for transfer </w:t>
      </w:r>
      <w:r w:rsidR="00EA0D7D" w:rsidRPr="005A4DC0">
        <w:t>are guaranteed admission to the California State University (CSU) system, more than 20 Historically Black Colleges and Universities (HBCU), the University of La Verne,</w:t>
      </w:r>
      <w:r w:rsidRPr="005A4DC0">
        <w:t xml:space="preserve"> and select campuses and programs of the University of California (UC).</w:t>
      </w:r>
    </w:p>
    <w:p w14:paraId="7D2B56BD" w14:textId="50D90353" w:rsidR="00BF269B" w:rsidRDefault="0067287E" w:rsidP="007E787F">
      <w:r>
        <w:t xml:space="preserve">Taft College </w:t>
      </w:r>
      <w:r w:rsidR="0021354D">
        <w:t>has been a</w:t>
      </w:r>
      <w:r>
        <w:t xml:space="preserve"> designated Hispanic Serving Institution </w:t>
      </w:r>
      <w:r w:rsidR="0021354D">
        <w:t>since</w:t>
      </w:r>
      <w:r>
        <w:t xml:space="preserve"> </w:t>
      </w:r>
      <w:r w:rsidR="0021354D">
        <w:t xml:space="preserve">2003 and was </w:t>
      </w:r>
      <w:r>
        <w:t xml:space="preserve">recognized as a Military Friendly School </w:t>
      </w:r>
      <w:r w:rsidR="0021354D">
        <w:t>in</w:t>
      </w:r>
      <w:r>
        <w:t xml:space="preserve"> 2023. The </w:t>
      </w:r>
      <w:r w:rsidR="000B4B67">
        <w:t>C</w:t>
      </w:r>
      <w:r>
        <w:t>ollege is accredited by the Accrediting Commission for Community and Junior Colleges (ACCJC) of the Western Association of Schools and Colleges</w:t>
      </w:r>
      <w:r w:rsidR="0021354D">
        <w:t xml:space="preserve"> (WASC).</w:t>
      </w:r>
      <w:r>
        <w:t xml:space="preserve"> ACCJC reaffirmed Taft College’s </w:t>
      </w:r>
      <w:r>
        <w:lastRenderedPageBreak/>
        <w:t>accreditation in January 2022, and its next Midterm Report is due on October 15, 2025. The institution’s next comprehensive review will begin with a Team ISER Review in Spring 2028 and conclude with a Focused Site Visit in the Fall term of 2028.</w:t>
      </w:r>
    </w:p>
    <w:p w14:paraId="365D75FB" w14:textId="683B434D" w:rsidR="007E787F" w:rsidRDefault="007E787F" w:rsidP="007E787F">
      <w:r>
        <w:t xml:space="preserve">In 2022, Taft College celebrated its 100th year of serving students. The college's rich history </w:t>
      </w:r>
      <w:r w:rsidR="002931A6">
        <w:t>and celebratory events were</w:t>
      </w:r>
      <w:r>
        <w:t xml:space="preserve"> captured in a </w:t>
      </w:r>
      <w:hyperlink r:id="rId14" w:history="1">
        <w:r w:rsidRPr="007E787F">
          <w:rPr>
            <w:rStyle w:val="Hyperlink"/>
          </w:rPr>
          <w:t>Centennial History Coffee Table Book and a year-end summary video</w:t>
        </w:r>
      </w:hyperlink>
      <w:r>
        <w:t>.</w:t>
      </w:r>
    </w:p>
    <w:p w14:paraId="0C7D1393" w14:textId="51EF0771" w:rsidR="002E6761" w:rsidRDefault="00352DE8" w:rsidP="00120B3A">
      <w:pPr>
        <w:pStyle w:val="Heading2"/>
      </w:pPr>
      <w:bookmarkStart w:id="30" w:name="_Toc194931229"/>
      <w:bookmarkStart w:id="31" w:name="_Toc194931554"/>
      <w:r>
        <w:t>M</w:t>
      </w:r>
      <w:r w:rsidR="00C15415">
        <w:t>ission</w:t>
      </w:r>
      <w:bookmarkEnd w:id="30"/>
      <w:bookmarkEnd w:id="31"/>
    </w:p>
    <w:p w14:paraId="036E258F" w14:textId="0DF4BB7D" w:rsidR="00C15415" w:rsidRDefault="002E6761" w:rsidP="002E6761">
      <w:r>
        <w:t>Taft College is committed to creating a community of learners by enriching the lives of all students we serve through career technical education, transfer programs, foundational programs, baccalaureate programs, and student support services. Taft College provides an equitable learning environment defined by applied knowledge leading to students’ achievement of their educational goals.</w:t>
      </w:r>
    </w:p>
    <w:p w14:paraId="460E8F4C" w14:textId="77777777" w:rsidR="002E6761" w:rsidRDefault="00C15415" w:rsidP="00120B3A">
      <w:pPr>
        <w:pStyle w:val="Heading2"/>
      </w:pPr>
      <w:bookmarkStart w:id="32" w:name="_Toc194931230"/>
      <w:bookmarkStart w:id="33" w:name="_Toc194931555"/>
      <w:r>
        <w:t>Vision</w:t>
      </w:r>
      <w:bookmarkEnd w:id="32"/>
      <w:bookmarkEnd w:id="33"/>
    </w:p>
    <w:p w14:paraId="33A39E1D" w14:textId="04E50BD7" w:rsidR="00C15415" w:rsidRDefault="00C15415" w:rsidP="002E6761">
      <w:r>
        <w:t xml:space="preserve"> </w:t>
      </w:r>
      <w:r w:rsidR="00A5032B" w:rsidRPr="00A5032B">
        <w:t>Taft College instills a passion for learning, leading to success for all.</w:t>
      </w:r>
    </w:p>
    <w:p w14:paraId="4C9E588A" w14:textId="77777777" w:rsidR="00A5032B" w:rsidRDefault="00C15415" w:rsidP="00120B3A">
      <w:pPr>
        <w:pStyle w:val="Heading2"/>
      </w:pPr>
      <w:bookmarkStart w:id="34" w:name="_Toc194931231"/>
      <w:bookmarkStart w:id="35" w:name="_Toc194931556"/>
      <w:r>
        <w:t>Values</w:t>
      </w:r>
      <w:bookmarkEnd w:id="34"/>
      <w:bookmarkEnd w:id="35"/>
    </w:p>
    <w:p w14:paraId="2437A438" w14:textId="04DB6973" w:rsidR="002E12ED" w:rsidRDefault="002E12ED" w:rsidP="005761F9">
      <w:pPr>
        <w:pStyle w:val="ListParagraph"/>
        <w:numPr>
          <w:ilvl w:val="0"/>
          <w:numId w:val="8"/>
        </w:numPr>
      </w:pPr>
      <w:r>
        <w:t>Students and their success</w:t>
      </w:r>
    </w:p>
    <w:p w14:paraId="78D7B2BA" w14:textId="77777777" w:rsidR="002E12ED" w:rsidRDefault="002E12ED" w:rsidP="005761F9">
      <w:pPr>
        <w:pStyle w:val="ListParagraph"/>
        <w:numPr>
          <w:ilvl w:val="0"/>
          <w:numId w:val="8"/>
        </w:numPr>
      </w:pPr>
      <w:r>
        <w:t>A learning community with teaching excellence</w:t>
      </w:r>
    </w:p>
    <w:p w14:paraId="2643B895" w14:textId="77777777" w:rsidR="001A68BC" w:rsidRDefault="002E12ED" w:rsidP="005761F9">
      <w:pPr>
        <w:pStyle w:val="ListParagraph"/>
        <w:numPr>
          <w:ilvl w:val="0"/>
          <w:numId w:val="8"/>
        </w:numPr>
      </w:pPr>
      <w:r>
        <w:t>An environment conducive to learning, fairness, dialogue, and continuous improvement</w:t>
      </w:r>
    </w:p>
    <w:p w14:paraId="7EB3DCF3" w14:textId="77777777" w:rsidR="001A68BC" w:rsidRDefault="002E12ED" w:rsidP="005761F9">
      <w:pPr>
        <w:pStyle w:val="ListParagraph"/>
        <w:numPr>
          <w:ilvl w:val="0"/>
          <w:numId w:val="8"/>
        </w:numPr>
      </w:pPr>
      <w:r>
        <w:t>A communicative, collaborative, collegial, and respectful culture</w:t>
      </w:r>
    </w:p>
    <w:p w14:paraId="685B80AC" w14:textId="77777777" w:rsidR="001A68BC" w:rsidRDefault="002E12ED" w:rsidP="005761F9">
      <w:pPr>
        <w:pStyle w:val="ListParagraph"/>
        <w:numPr>
          <w:ilvl w:val="0"/>
          <w:numId w:val="8"/>
        </w:numPr>
      </w:pPr>
      <w:r>
        <w:t>A partnership of students, faculty, support services, and community</w:t>
      </w:r>
    </w:p>
    <w:p w14:paraId="558A6EC7" w14:textId="77777777" w:rsidR="001A68BC" w:rsidRDefault="002E12ED" w:rsidP="005761F9">
      <w:pPr>
        <w:pStyle w:val="ListParagraph"/>
        <w:numPr>
          <w:ilvl w:val="0"/>
          <w:numId w:val="8"/>
        </w:numPr>
      </w:pPr>
      <w:r>
        <w:t>Innovation, diversity, creativity, and critical thinking</w:t>
      </w:r>
    </w:p>
    <w:p w14:paraId="10B3038C" w14:textId="77777777" w:rsidR="001A68BC" w:rsidRDefault="002E12ED" w:rsidP="005761F9">
      <w:pPr>
        <w:pStyle w:val="ListParagraph"/>
        <w:numPr>
          <w:ilvl w:val="0"/>
          <w:numId w:val="8"/>
        </w:numPr>
      </w:pPr>
      <w:r>
        <w:t>Academic, financial, personal, and professional integrity</w:t>
      </w:r>
    </w:p>
    <w:p w14:paraId="5710598F" w14:textId="77777777" w:rsidR="001A68BC" w:rsidRDefault="002E12ED" w:rsidP="005761F9">
      <w:pPr>
        <w:pStyle w:val="ListParagraph"/>
        <w:numPr>
          <w:ilvl w:val="0"/>
          <w:numId w:val="8"/>
        </w:numPr>
      </w:pPr>
      <w:r>
        <w:t>Employees and their professional development</w:t>
      </w:r>
    </w:p>
    <w:p w14:paraId="26F59D19" w14:textId="53614E94" w:rsidR="00C15415" w:rsidRDefault="002E12ED" w:rsidP="005761F9">
      <w:pPr>
        <w:pStyle w:val="ListParagraph"/>
        <w:numPr>
          <w:ilvl w:val="0"/>
          <w:numId w:val="8"/>
        </w:numPr>
      </w:pPr>
      <w:r>
        <w:t>A transparent, accessible, participative governance structure</w:t>
      </w:r>
    </w:p>
    <w:p w14:paraId="52865BDA" w14:textId="0094177C" w:rsidR="006B0ADD" w:rsidRDefault="006B0ADD" w:rsidP="00120B3A">
      <w:pPr>
        <w:pStyle w:val="Heading2"/>
      </w:pPr>
      <w:bookmarkStart w:id="36" w:name="_Toc194931232"/>
      <w:bookmarkStart w:id="37" w:name="_Toc194931557"/>
      <w:r>
        <w:t>Native Land Acknowledgement</w:t>
      </w:r>
      <w:bookmarkEnd w:id="36"/>
      <w:bookmarkEnd w:id="37"/>
    </w:p>
    <w:p w14:paraId="1D3240CA" w14:textId="7E0B4084" w:rsidR="004A1896" w:rsidRDefault="006B0ADD" w:rsidP="004A1896">
      <w:r>
        <w:t xml:space="preserve">Taft College is </w:t>
      </w:r>
      <w:r w:rsidR="00A74D3C">
        <w:t>part of the California Community College System, which currently comprises 73 districts and 116 colleges. T</w:t>
      </w:r>
      <w:r>
        <w:t>he California Community Colleges and California Tribal Chairpersons’ Association collaborated to create a systemwide land acknowledgment that recognizes and respects the Indigenous peoples as traditional stewards of all California land.</w:t>
      </w:r>
      <w:r w:rsidR="00956274">
        <w:t xml:space="preserve"> </w:t>
      </w:r>
      <w:r>
        <w:t xml:space="preserve">The Land Acknowledge Statement </w:t>
      </w:r>
      <w:r w:rsidRPr="00A41029">
        <w:t xml:space="preserve">recognizes </w:t>
      </w:r>
      <w:r w:rsidR="00956274">
        <w:t xml:space="preserve">that </w:t>
      </w:r>
      <w:r w:rsidRPr="00A41029">
        <w:t>all </w:t>
      </w:r>
      <w:r w:rsidRPr="000C7560">
        <w:t xml:space="preserve">116 </w:t>
      </w:r>
      <w:r w:rsidR="0097141D">
        <w:t>colleges</w:t>
      </w:r>
      <w:r w:rsidRPr="000C7560">
        <w:t> throughout the state are located</w:t>
      </w:r>
      <w:r w:rsidRPr="00A41029">
        <w:t xml:space="preserve"> in the </w:t>
      </w:r>
      <w:r w:rsidRPr="000C7560">
        <w:t>unceded territories of the 109 federally recognized tribes and other tribes seeking recognition</w:t>
      </w:r>
      <w:r>
        <w:t xml:space="preserve">. </w:t>
      </w:r>
      <w:r w:rsidR="00956274">
        <w:t>Relationships between California’s community colleges and tribal nations, such as the relationship between Taft College and the Te</w:t>
      </w:r>
      <w:r w:rsidR="00277FE0">
        <w:t>j</w:t>
      </w:r>
      <w:r w:rsidR="00956274">
        <w:t>on Indian Tribe</w:t>
      </w:r>
      <w:r w:rsidR="0097141D">
        <w:t xml:space="preserve"> in Kern County</w:t>
      </w:r>
      <w:r w:rsidR="00A74D3C">
        <w:t>,</w:t>
      </w:r>
      <w:r w:rsidR="00956274">
        <w:t xml:space="preserve"> are of great importance</w:t>
      </w:r>
      <w:r w:rsidR="004A1896">
        <w:t xml:space="preserve">. </w:t>
      </w:r>
      <w:r w:rsidR="004A1896" w:rsidRPr="00334C4B">
        <w:t>The Tejon Indian Tribe is a federally recognized tribe comprising the Kitanemuk, Yokuts, Paiute, and Chumash indigenous people of California</w:t>
      </w:r>
      <w:r w:rsidR="000E606D">
        <w:t xml:space="preserve">, and Taft College will respond to workforce needs of the tribe as they arise. </w:t>
      </w:r>
    </w:p>
    <w:p w14:paraId="477D7354" w14:textId="3BA13496" w:rsidR="003F10C8" w:rsidRDefault="004A1896" w:rsidP="004A1896">
      <w:pPr>
        <w:rPr>
          <w:rFonts w:cstheme="minorHAnsi"/>
          <w:color w:val="000000" w:themeColor="text1"/>
          <w:szCs w:val="22"/>
        </w:rPr>
      </w:pPr>
      <w:r w:rsidRPr="003F10C8">
        <w:rPr>
          <w:rFonts w:cstheme="minorHAnsi"/>
          <w:color w:val="000000" w:themeColor="text1"/>
          <w:szCs w:val="22"/>
        </w:rPr>
        <w:t>The</w:t>
      </w:r>
      <w:r w:rsidR="003F10C8" w:rsidRPr="003F10C8">
        <w:rPr>
          <w:rFonts w:cstheme="minorHAnsi"/>
          <w:color w:val="000000" w:themeColor="text1"/>
          <w:szCs w:val="22"/>
        </w:rPr>
        <w:t xml:space="preserve"> California Community Colleges</w:t>
      </w:r>
      <w:r w:rsidR="003F10C8">
        <w:rPr>
          <w:rFonts w:cstheme="minorHAnsi"/>
          <w:color w:val="000000" w:themeColor="text1"/>
          <w:szCs w:val="22"/>
        </w:rPr>
        <w:t>’</w:t>
      </w:r>
      <w:r w:rsidR="003F10C8" w:rsidRPr="003F10C8">
        <w:rPr>
          <w:rFonts w:cstheme="minorHAnsi"/>
          <w:color w:val="000000" w:themeColor="text1"/>
          <w:szCs w:val="22"/>
        </w:rPr>
        <w:t xml:space="preserve"> systemwide land acknowledgment</w:t>
      </w:r>
      <w:r w:rsidR="003F10C8">
        <w:rPr>
          <w:rFonts w:cstheme="minorHAnsi"/>
          <w:color w:val="000000" w:themeColor="text1"/>
          <w:szCs w:val="22"/>
        </w:rPr>
        <w:t>,</w:t>
      </w:r>
      <w:r w:rsidR="003F10C8" w:rsidRPr="003F10C8">
        <w:rPr>
          <w:rFonts w:cstheme="minorHAnsi"/>
          <w:color w:val="000000" w:themeColor="text1"/>
          <w:szCs w:val="22"/>
        </w:rPr>
        <w:t xml:space="preserve"> developed in partnership with </w:t>
      </w:r>
      <w:r w:rsidR="003F10C8">
        <w:rPr>
          <w:rFonts w:cstheme="minorHAnsi"/>
          <w:color w:val="000000" w:themeColor="text1"/>
          <w:szCs w:val="22"/>
        </w:rPr>
        <w:t xml:space="preserve">the </w:t>
      </w:r>
      <w:r w:rsidR="003F10C8" w:rsidRPr="003F10C8">
        <w:rPr>
          <w:rFonts w:cstheme="minorHAnsi"/>
          <w:color w:val="000000" w:themeColor="text1"/>
          <w:szCs w:val="22"/>
        </w:rPr>
        <w:t>California Tribal Chairpersons’ Association</w:t>
      </w:r>
      <w:r w:rsidR="00F82916">
        <w:rPr>
          <w:rFonts w:cstheme="minorHAnsi"/>
          <w:color w:val="000000" w:themeColor="text1"/>
          <w:szCs w:val="22"/>
        </w:rPr>
        <w:t xml:space="preserve"> </w:t>
      </w:r>
      <w:hyperlink r:id="rId15" w:history="1">
        <w:r w:rsidR="00F82916" w:rsidRPr="00F82916">
          <w:rPr>
            <w:rStyle w:val="Hyperlink"/>
            <w:rFonts w:cstheme="minorHAnsi"/>
            <w:szCs w:val="22"/>
          </w:rPr>
          <w:t>https://www.cccco.edu/About-Us/land-acknowledgement</w:t>
        </w:r>
      </w:hyperlink>
      <w:r w:rsidR="00A74D3C">
        <w:rPr>
          <w:rFonts w:cstheme="minorHAnsi"/>
          <w:color w:val="000000" w:themeColor="text1"/>
          <w:szCs w:val="22"/>
        </w:rPr>
        <w:t>,</w:t>
      </w:r>
      <w:r w:rsidR="003F10C8">
        <w:rPr>
          <w:rFonts w:cstheme="minorHAnsi"/>
          <w:color w:val="000000" w:themeColor="text1"/>
          <w:szCs w:val="22"/>
        </w:rPr>
        <w:t xml:space="preserve"> is as follows:</w:t>
      </w:r>
    </w:p>
    <w:p w14:paraId="1C06C5FA" w14:textId="03F5495A" w:rsidR="00232A21" w:rsidRPr="003F10C8" w:rsidRDefault="003F10C8" w:rsidP="000B4B67">
      <w:pPr>
        <w:pStyle w:val="NormalWeb"/>
        <w:shd w:val="clear" w:color="auto" w:fill="FFFFFF"/>
        <w:spacing w:before="0" w:beforeAutospacing="0" w:after="0" w:afterAutospacing="0"/>
        <w:ind w:left="720"/>
        <w:rPr>
          <w:rFonts w:asciiTheme="minorHAnsi" w:hAnsiTheme="minorHAnsi" w:cstheme="minorHAnsi"/>
          <w:i/>
          <w:iCs/>
          <w:color w:val="555555"/>
          <w:sz w:val="22"/>
          <w:szCs w:val="22"/>
        </w:rPr>
      </w:pPr>
      <w:r w:rsidRPr="003F10C8">
        <w:rPr>
          <w:rStyle w:val="Emphasis"/>
          <w:rFonts w:asciiTheme="minorHAnsi" w:hAnsiTheme="minorHAnsi" w:cstheme="minorHAnsi"/>
          <w:color w:val="555555"/>
          <w:sz w:val="22"/>
          <w:szCs w:val="22"/>
        </w:rPr>
        <w:t>California Community Colleges honors and acknowledges that our 116 campuses throughout the state of California are located in the unceded territories of the 109 federally recognized tribes and the dozens of tribes throughout the state who are seeking recognition. We are committed to supporting the ongoing relationships between these tribes, their ancestral territories and the resilience, strength and sovereignty that continues to be demonstrated by California’s first peoples. We affirm our intentions for ongoing relationships with American Indian Tribal Nations and communities whose ancestral lands we occupy and students we educate. A land acknowledgement is a critical step towards working with Native</w:t>
      </w:r>
      <w:r w:rsidR="004F1170">
        <w:rPr>
          <w:rStyle w:val="Emphasis"/>
          <w:rFonts w:asciiTheme="minorHAnsi" w:hAnsiTheme="minorHAnsi" w:cstheme="minorHAnsi"/>
          <w:color w:val="555555"/>
          <w:sz w:val="22"/>
          <w:szCs w:val="22"/>
        </w:rPr>
        <w:t xml:space="preserve"> </w:t>
      </w:r>
      <w:r w:rsidRPr="003F10C8">
        <w:rPr>
          <w:rStyle w:val="Emphasis"/>
          <w:rFonts w:asciiTheme="minorHAnsi" w:hAnsiTheme="minorHAnsi" w:cstheme="minorHAnsi"/>
          <w:color w:val="555555"/>
          <w:sz w:val="22"/>
          <w:szCs w:val="22"/>
        </w:rPr>
        <w:lastRenderedPageBreak/>
        <w:t>communities to secure meaningful partnership and inclusion in the stewardship and protection of their cultural resources and homelands. Our institutions were founded upon exclusions and erasures of Indigenous peoples. We honor and are grateful for the land we occupy and recognize the ongoing damage of settler colonialism.</w:t>
      </w:r>
      <w:r>
        <w:rPr>
          <w:rStyle w:val="Emphasis"/>
          <w:rFonts w:asciiTheme="minorHAnsi" w:hAnsiTheme="minorHAnsi" w:cstheme="minorHAnsi"/>
          <w:color w:val="555555"/>
          <w:sz w:val="22"/>
          <w:szCs w:val="22"/>
        </w:rPr>
        <w:br/>
      </w:r>
      <w:r w:rsidRPr="003F10C8">
        <w:rPr>
          <w:rStyle w:val="Emphasis"/>
          <w:rFonts w:asciiTheme="minorHAnsi" w:hAnsiTheme="minorHAnsi" w:cstheme="minorHAnsi"/>
          <w:color w:val="555555"/>
          <w:sz w:val="22"/>
          <w:szCs w:val="22"/>
        </w:rPr>
        <w:br/>
        <w:t>We commit to pursuing continuous collaborations with the Tribal Nations of California. We strive to strengthen our awareness of historical and contemporary issues in California to reckon with our institutional legacy and its impact on the people, lands, waters of this place, which are, and always will be, inextricable.</w:t>
      </w:r>
    </w:p>
    <w:p w14:paraId="5EE680E5" w14:textId="365FD5EC" w:rsidR="00A8642B" w:rsidRDefault="003F4C06" w:rsidP="00A431A3">
      <w:pPr>
        <w:pStyle w:val="Heading2"/>
      </w:pPr>
      <w:bookmarkStart w:id="38" w:name="_Toc194931233"/>
      <w:bookmarkStart w:id="39" w:name="_Toc194931558"/>
      <w:r>
        <w:t>Distinctive</w:t>
      </w:r>
      <w:r w:rsidR="00D33971">
        <w:t xml:space="preserve"> Partnerships</w:t>
      </w:r>
      <w:bookmarkEnd w:id="38"/>
      <w:bookmarkEnd w:id="39"/>
    </w:p>
    <w:p w14:paraId="1EACB4A5" w14:textId="540C8C5F" w:rsidR="00533AF9" w:rsidRPr="007328B8" w:rsidRDefault="0088289F" w:rsidP="007328B8">
      <w:pPr>
        <w:rPr>
          <w:b/>
          <w:bCs/>
          <w:color w:val="2E74B5" w:themeColor="accent5" w:themeShade="BF"/>
        </w:rPr>
      </w:pPr>
      <w:bookmarkStart w:id="40" w:name="_Toc194322799"/>
      <w:r w:rsidRPr="007328B8">
        <w:rPr>
          <w:b/>
          <w:bCs/>
          <w:color w:val="2E74B5" w:themeColor="accent5" w:themeShade="BF"/>
        </w:rPr>
        <w:t>Kern Regional Center</w:t>
      </w:r>
      <w:r w:rsidR="003F10C8" w:rsidRPr="007328B8">
        <w:rPr>
          <w:b/>
          <w:bCs/>
          <w:color w:val="2E74B5" w:themeColor="accent5" w:themeShade="BF"/>
        </w:rPr>
        <w:t xml:space="preserve"> and the Transitions to Independent Living (TIL) Program</w:t>
      </w:r>
      <w:bookmarkEnd w:id="40"/>
    </w:p>
    <w:p w14:paraId="7A97BF6F" w14:textId="1911FD00" w:rsidR="00EA3CC9" w:rsidRDefault="00FE67E5" w:rsidP="00267DE1">
      <w:r>
        <w:t>Since 1976, Taft College has collaborated with the Kern Regional Center (KRC) to obtain support for educational services and resources for individuals with developmental and intellectual disabilities. KRC</w:t>
      </w:r>
      <w:r w:rsidR="00973B07">
        <w:t>,</w:t>
      </w:r>
      <w:r>
        <w:t xml:space="preserve"> one of 21 private, nonprofit regional centers contracted by the State of California through the Department of Developmental Services (DDS)</w:t>
      </w:r>
      <w:r w:rsidR="00973B07">
        <w:t xml:space="preserve">, provides </w:t>
      </w:r>
      <w:r>
        <w:t>funding for the Transitions to Independent Living (TIL) program</w:t>
      </w:r>
      <w:r w:rsidR="00973B07">
        <w:t xml:space="preserve"> and</w:t>
      </w:r>
      <w:r>
        <w:t xml:space="preserve"> Taft College </w:t>
      </w:r>
      <w:r w:rsidR="00973B07">
        <w:t xml:space="preserve">serves </w:t>
      </w:r>
      <w:r>
        <w:t>as the sponsoring agency</w:t>
      </w:r>
      <w:r w:rsidR="00973B07">
        <w:t>.</w:t>
      </w:r>
    </w:p>
    <w:p w14:paraId="30CFFA0D" w14:textId="5B974287" w:rsidR="00C72F2A" w:rsidRDefault="001B4572" w:rsidP="00267DE1">
      <w:r>
        <w:t xml:space="preserve">The TIL program is a post-secondary educational and residential experience </w:t>
      </w:r>
      <w:r w:rsidR="00D50D0B">
        <w:t xml:space="preserve">for students </w:t>
      </w:r>
      <w:r>
        <w:t xml:space="preserve">that offers instruction, training, and support on the college campus. </w:t>
      </w:r>
      <w:r w:rsidR="00D50D0B">
        <w:t>It is based on a comprehensive curriculum that promotes the acquisition of functional, social, and career skills necessary for students to live productive and normalized lifestyles</w:t>
      </w:r>
      <w:r>
        <w:t>.</w:t>
      </w:r>
      <w:r w:rsidR="00BC363C">
        <w:t xml:space="preserve"> </w:t>
      </w:r>
      <w:r w:rsidR="00EE4C88">
        <w:t xml:space="preserve">At the conclusion of the two-year program, students </w:t>
      </w:r>
      <w:r w:rsidR="005B10D8">
        <w:t xml:space="preserve">are eligible for </w:t>
      </w:r>
      <w:r w:rsidR="00EE4C88">
        <w:t>graduat</w:t>
      </w:r>
      <w:r w:rsidR="005B10D8">
        <w:t>ion</w:t>
      </w:r>
      <w:r w:rsidR="00EE4C88">
        <w:t xml:space="preserve"> after completing required coursework and demonstrating learned skills independently</w:t>
      </w:r>
      <w:r w:rsidR="003E618F" w:rsidRPr="00C72F2A">
        <w:t>. The</w:t>
      </w:r>
      <w:r w:rsidR="005B10D8">
        <w:t xml:space="preserve"> TIL</w:t>
      </w:r>
      <w:r w:rsidR="003E618F" w:rsidRPr="00C72F2A">
        <w:t xml:space="preserve"> transition team staff then help graduates transition to independent living in their home community.</w:t>
      </w:r>
    </w:p>
    <w:p w14:paraId="6896CB6D" w14:textId="77777777" w:rsidR="00A4641C" w:rsidRPr="007328B8" w:rsidRDefault="00A4641C" w:rsidP="007328B8">
      <w:pPr>
        <w:rPr>
          <w:b/>
          <w:bCs/>
          <w:color w:val="2E74B5" w:themeColor="accent5" w:themeShade="BF"/>
        </w:rPr>
      </w:pPr>
      <w:bookmarkStart w:id="41" w:name="_Toc194322800"/>
      <w:r w:rsidRPr="007328B8">
        <w:rPr>
          <w:b/>
          <w:bCs/>
          <w:color w:val="2E74B5" w:themeColor="accent5" w:themeShade="BF"/>
        </w:rPr>
        <w:t>WESTEC Incorporated</w:t>
      </w:r>
      <w:bookmarkEnd w:id="41"/>
    </w:p>
    <w:p w14:paraId="0BBF3BF9" w14:textId="3699A8DC" w:rsidR="00A4641C" w:rsidRPr="00C72F2A" w:rsidRDefault="00A4641C" w:rsidP="00267DE1">
      <w:r>
        <w:t>The Westside Energy Services and Training Center (WESTEC) is a non-profit educational cooperative that has been continuously operating since 1982. WESTEC partners with local employers and community colleges, such as Taft College, to fund programs and provide students with college credit upon completion of classes. Located in Shafter, California, WESTEC offers short and long-term career and job training programs at the North Kern Training Center. Programs and courses cover topics such as safety, law enforcement, and court reporting. The future of WESTEC is uncertain at this time.</w:t>
      </w:r>
    </w:p>
    <w:p w14:paraId="4BAF3586" w14:textId="77777777" w:rsidR="006B00C1" w:rsidRPr="00A215C4" w:rsidRDefault="006B00C1" w:rsidP="00120B3A">
      <w:pPr>
        <w:pStyle w:val="Heading2"/>
        <w:rPr>
          <w:rFonts w:asciiTheme="majorHAnsi" w:hAnsiTheme="majorHAnsi" w:cstheme="majorBidi"/>
          <w:color w:val="4472C4" w:themeColor="accent1"/>
          <w:sz w:val="24"/>
        </w:rPr>
      </w:pPr>
      <w:bookmarkStart w:id="42" w:name="_Toc167527635"/>
      <w:bookmarkStart w:id="43" w:name="_Toc194931234"/>
      <w:bookmarkStart w:id="44" w:name="_Toc194931559"/>
      <w:r>
        <w:t>College Fast Facts</w:t>
      </w:r>
      <w:bookmarkEnd w:id="42"/>
      <w:bookmarkEnd w:id="43"/>
      <w:bookmarkEnd w:id="44"/>
    </w:p>
    <w:p w14:paraId="1BA52721" w14:textId="529ACD23" w:rsidR="006B00C1" w:rsidRDefault="006B00C1" w:rsidP="006B00C1">
      <w:bookmarkStart w:id="45" w:name="OLE_LINK1"/>
      <w:r>
        <w:t xml:space="preserve">The chart below provides a synopsis of Fast Facts about Taft College today. It outlines data about the community, students, and outcomes for the County, the College, and its student body. </w:t>
      </w:r>
    </w:p>
    <w:bookmarkEnd w:id="45"/>
    <w:p w14:paraId="2639649C" w14:textId="77777777" w:rsidR="000B0FBC" w:rsidRDefault="000B0FBC">
      <w:pPr>
        <w:spacing w:after="0"/>
        <w:rPr>
          <w:rFonts w:eastAsiaTheme="majorEastAsia" w:cstheme="minorHAnsi"/>
          <w:b/>
          <w:bCs/>
          <w:sz w:val="28"/>
          <w:szCs w:val="28"/>
        </w:rPr>
      </w:pPr>
      <w:r>
        <w:br w:type="page"/>
      </w:r>
    </w:p>
    <w:p w14:paraId="7A13C8FF" w14:textId="070D59C4" w:rsidR="000B0FBC" w:rsidRPr="002C6EA3" w:rsidRDefault="000B0FBC" w:rsidP="000B0FBC">
      <w:pPr>
        <w:pStyle w:val="Heading2"/>
        <w:jc w:val="center"/>
        <w:rPr>
          <w:b w:val="0"/>
          <w:bCs w:val="0"/>
          <w:color w:val="auto"/>
        </w:rPr>
      </w:pPr>
      <w:bookmarkStart w:id="46" w:name="_Toc194931235"/>
      <w:bookmarkStart w:id="47" w:name="_Toc194931560"/>
      <w:r>
        <w:rPr>
          <w:color w:val="auto"/>
        </w:rPr>
        <w:lastRenderedPageBreak/>
        <w:t xml:space="preserve">Taft College </w:t>
      </w:r>
      <w:r w:rsidRPr="002C6EA3">
        <w:rPr>
          <w:color w:val="auto"/>
        </w:rPr>
        <w:t xml:space="preserve">Community, Student, and Outcomes </w:t>
      </w:r>
      <w:r>
        <w:rPr>
          <w:color w:val="auto"/>
        </w:rPr>
        <w:t xml:space="preserve">Summary </w:t>
      </w:r>
      <w:r w:rsidRPr="002C6EA3">
        <w:rPr>
          <w:color w:val="auto"/>
        </w:rPr>
        <w:t>Data</w:t>
      </w:r>
      <w:bookmarkEnd w:id="46"/>
      <w:bookmarkEnd w:id="47"/>
    </w:p>
    <w:tbl>
      <w:tblPr>
        <w:tblStyle w:val="TableGrid"/>
        <w:tblW w:w="10798" w:type="dxa"/>
        <w:tblInd w:w="-5" w:type="dxa"/>
        <w:tblLook w:val="04A0" w:firstRow="1" w:lastRow="0" w:firstColumn="1" w:lastColumn="0" w:noHBand="0" w:noVBand="1"/>
      </w:tblPr>
      <w:tblGrid>
        <w:gridCol w:w="3598"/>
        <w:gridCol w:w="3600"/>
        <w:gridCol w:w="3600"/>
      </w:tblGrid>
      <w:tr w:rsidR="000B0FBC" w:rsidRPr="000B0FBC" w14:paraId="0FFB4876" w14:textId="77777777" w:rsidTr="003066FE">
        <w:trPr>
          <w:trHeight w:val="336"/>
        </w:trPr>
        <w:tc>
          <w:tcPr>
            <w:tcW w:w="3598" w:type="dxa"/>
            <w:shd w:val="clear" w:color="auto" w:fill="2F5496" w:themeFill="accent1" w:themeFillShade="BF"/>
            <w:vAlign w:val="center"/>
          </w:tcPr>
          <w:p w14:paraId="6412DB77" w14:textId="77777777" w:rsidR="000B0FBC" w:rsidRPr="000B0FBC" w:rsidRDefault="000B0FBC" w:rsidP="003066FE">
            <w:pPr>
              <w:shd w:val="clear" w:color="auto" w:fill="2F5496" w:themeFill="accent1" w:themeFillShade="BF"/>
              <w:jc w:val="center"/>
              <w:rPr>
                <w:b/>
                <w:bCs/>
                <w:color w:val="FFFFFF" w:themeColor="background1"/>
                <w:sz w:val="28"/>
                <w:szCs w:val="28"/>
              </w:rPr>
            </w:pPr>
            <w:r w:rsidRPr="000B0FBC">
              <w:rPr>
                <w:b/>
                <w:bCs/>
                <w:color w:val="FFFFFF" w:themeColor="background1"/>
                <w:sz w:val="28"/>
                <w:szCs w:val="28"/>
              </w:rPr>
              <w:t>Community</w:t>
            </w:r>
          </w:p>
        </w:tc>
        <w:tc>
          <w:tcPr>
            <w:tcW w:w="3600" w:type="dxa"/>
            <w:shd w:val="clear" w:color="auto" w:fill="538135" w:themeFill="accent6" w:themeFillShade="BF"/>
            <w:vAlign w:val="center"/>
          </w:tcPr>
          <w:p w14:paraId="427A55BF" w14:textId="77777777" w:rsidR="000B0FBC" w:rsidRPr="000B0FBC" w:rsidRDefault="000B0FBC" w:rsidP="003066FE">
            <w:pPr>
              <w:jc w:val="center"/>
              <w:rPr>
                <w:b/>
                <w:bCs/>
                <w:color w:val="FFFFFF" w:themeColor="background1"/>
                <w:sz w:val="28"/>
                <w:szCs w:val="28"/>
              </w:rPr>
            </w:pPr>
            <w:r w:rsidRPr="000B0FBC">
              <w:rPr>
                <w:b/>
                <w:bCs/>
                <w:color w:val="FFFFFF" w:themeColor="background1"/>
                <w:sz w:val="28"/>
                <w:szCs w:val="28"/>
                <w:shd w:val="clear" w:color="auto" w:fill="538135" w:themeFill="accent6" w:themeFillShade="BF"/>
              </w:rPr>
              <w:t>Students</w:t>
            </w:r>
          </w:p>
        </w:tc>
        <w:tc>
          <w:tcPr>
            <w:tcW w:w="3600" w:type="dxa"/>
            <w:shd w:val="clear" w:color="auto" w:fill="C45911" w:themeFill="accent2" w:themeFillShade="BF"/>
            <w:vAlign w:val="center"/>
          </w:tcPr>
          <w:p w14:paraId="6A386157" w14:textId="77777777" w:rsidR="000B0FBC" w:rsidRPr="000B0FBC" w:rsidRDefault="000B0FBC" w:rsidP="003066FE">
            <w:pPr>
              <w:jc w:val="center"/>
              <w:rPr>
                <w:b/>
                <w:bCs/>
                <w:color w:val="FFFFFF" w:themeColor="background1"/>
                <w:sz w:val="28"/>
                <w:szCs w:val="28"/>
              </w:rPr>
            </w:pPr>
            <w:r w:rsidRPr="000B0FBC">
              <w:rPr>
                <w:b/>
                <w:bCs/>
                <w:color w:val="FFFFFF" w:themeColor="background1"/>
                <w:sz w:val="28"/>
                <w:szCs w:val="28"/>
              </w:rPr>
              <w:t>Outcomes</w:t>
            </w:r>
          </w:p>
        </w:tc>
      </w:tr>
      <w:tr w:rsidR="000B0FBC" w:rsidRPr="000B0FBC" w14:paraId="06C8CCAD" w14:textId="77777777" w:rsidTr="003066FE">
        <w:trPr>
          <w:trHeight w:val="12101"/>
        </w:trPr>
        <w:tc>
          <w:tcPr>
            <w:tcW w:w="3598" w:type="dxa"/>
            <w:shd w:val="clear" w:color="auto" w:fill="D9E2F3" w:themeFill="accent1" w:themeFillTint="33"/>
          </w:tcPr>
          <w:p w14:paraId="36178207" w14:textId="77777777" w:rsidR="000B0FBC" w:rsidRPr="000B0FBC" w:rsidRDefault="000B0FBC" w:rsidP="00B13ECD">
            <w:pPr>
              <w:spacing w:after="6" w:line="200" w:lineRule="exact"/>
              <w:rPr>
                <w:b/>
                <w:bCs/>
                <w:color w:val="2F5496" w:themeColor="accent1" w:themeShade="BF"/>
                <w:szCs w:val="22"/>
              </w:rPr>
            </w:pPr>
          </w:p>
          <w:p w14:paraId="4E933A1A" w14:textId="3D75D364" w:rsidR="000B0FBC" w:rsidRDefault="000B0FBC" w:rsidP="003066FE">
            <w:pPr>
              <w:spacing w:after="0" w:line="200" w:lineRule="exact"/>
              <w:jc w:val="center"/>
              <w:rPr>
                <w:b/>
                <w:bCs/>
                <w:i/>
                <w:iCs/>
                <w:color w:val="2F5496" w:themeColor="accent1" w:themeShade="BF"/>
                <w:sz w:val="24"/>
              </w:rPr>
            </w:pPr>
            <w:r w:rsidRPr="000B0FBC">
              <w:rPr>
                <w:b/>
                <w:bCs/>
                <w:i/>
                <w:iCs/>
                <w:color w:val="2F5496" w:themeColor="accent1" w:themeShade="BF"/>
                <w:sz w:val="24"/>
              </w:rPr>
              <w:t>Kern County</w:t>
            </w:r>
          </w:p>
          <w:p w14:paraId="2675525A" w14:textId="77777777" w:rsidR="005A4DC0" w:rsidRPr="000B0FBC" w:rsidRDefault="005A4DC0" w:rsidP="003066FE">
            <w:pPr>
              <w:spacing w:after="0" w:line="200" w:lineRule="exact"/>
              <w:jc w:val="center"/>
              <w:rPr>
                <w:szCs w:val="22"/>
              </w:rPr>
            </w:pPr>
          </w:p>
          <w:p w14:paraId="0128E8D1" w14:textId="77777777" w:rsidR="000B0FBC" w:rsidRPr="000B0FBC" w:rsidRDefault="000B0FBC" w:rsidP="003066FE">
            <w:pPr>
              <w:spacing w:after="0" w:line="200" w:lineRule="exact"/>
              <w:rPr>
                <w:szCs w:val="22"/>
              </w:rPr>
            </w:pPr>
            <w:r w:rsidRPr="000B0FBC">
              <w:rPr>
                <w:b/>
                <w:bCs/>
                <w:szCs w:val="22"/>
              </w:rPr>
              <w:t>Population</w:t>
            </w:r>
            <w:r w:rsidRPr="000B0FBC">
              <w:rPr>
                <w:szCs w:val="22"/>
              </w:rPr>
              <w:t xml:space="preserve"> (909,235 in 2022)</w:t>
            </w:r>
          </w:p>
          <w:p w14:paraId="19784696" w14:textId="77777777" w:rsidR="000B0FBC" w:rsidRPr="000B0FBC" w:rsidRDefault="000B0FBC" w:rsidP="005761F9">
            <w:pPr>
              <w:pStyle w:val="ListParagraph"/>
              <w:numPr>
                <w:ilvl w:val="0"/>
                <w:numId w:val="9"/>
              </w:numPr>
              <w:spacing w:after="6" w:line="200" w:lineRule="exact"/>
              <w:rPr>
                <w:szCs w:val="22"/>
              </w:rPr>
            </w:pPr>
            <w:r w:rsidRPr="000B0FBC">
              <w:rPr>
                <w:szCs w:val="22"/>
              </w:rPr>
              <w:t>Modest growth projected</w:t>
            </w:r>
          </w:p>
          <w:p w14:paraId="3638A5DC" w14:textId="77777777" w:rsidR="000B0FBC" w:rsidRPr="000B0FBC" w:rsidRDefault="000B0FBC" w:rsidP="005761F9">
            <w:pPr>
              <w:pStyle w:val="ListParagraph"/>
              <w:numPr>
                <w:ilvl w:val="0"/>
                <w:numId w:val="9"/>
              </w:numPr>
              <w:spacing w:after="6" w:line="200" w:lineRule="exact"/>
              <w:rPr>
                <w:szCs w:val="22"/>
              </w:rPr>
            </w:pPr>
            <w:r w:rsidRPr="000B0FBC">
              <w:rPr>
                <w:szCs w:val="22"/>
              </w:rPr>
              <w:t>Most pronounced growth in Bakersfield and larger towns</w:t>
            </w:r>
          </w:p>
          <w:p w14:paraId="363FC532" w14:textId="77777777" w:rsidR="000B0FBC" w:rsidRPr="000B0FBC" w:rsidRDefault="000B0FBC" w:rsidP="005761F9">
            <w:pPr>
              <w:pStyle w:val="ListParagraph"/>
              <w:numPr>
                <w:ilvl w:val="0"/>
                <w:numId w:val="9"/>
              </w:numPr>
              <w:spacing w:after="6" w:line="200" w:lineRule="exact"/>
              <w:rPr>
                <w:szCs w:val="22"/>
              </w:rPr>
            </w:pPr>
            <w:r w:rsidRPr="000B0FBC">
              <w:rPr>
                <w:szCs w:val="22"/>
              </w:rPr>
              <w:t>Low population in close proximity to the campus in Taft</w:t>
            </w:r>
          </w:p>
          <w:p w14:paraId="477CF045" w14:textId="77777777" w:rsidR="000B0FBC" w:rsidRPr="000B0FBC" w:rsidRDefault="000B0FBC" w:rsidP="00B13ECD">
            <w:pPr>
              <w:pStyle w:val="ListParagraph"/>
              <w:spacing w:after="6" w:line="200" w:lineRule="exact"/>
              <w:ind w:left="360"/>
              <w:rPr>
                <w:szCs w:val="22"/>
              </w:rPr>
            </w:pPr>
          </w:p>
          <w:p w14:paraId="1F1A707E" w14:textId="77777777" w:rsidR="000B0FBC" w:rsidRPr="000B0FBC" w:rsidRDefault="000B0FBC" w:rsidP="00B13ECD">
            <w:pPr>
              <w:spacing w:after="6" w:line="200" w:lineRule="exact"/>
              <w:rPr>
                <w:b/>
                <w:bCs/>
                <w:szCs w:val="22"/>
              </w:rPr>
            </w:pPr>
            <w:r w:rsidRPr="000B0FBC">
              <w:rPr>
                <w:b/>
                <w:bCs/>
                <w:szCs w:val="22"/>
              </w:rPr>
              <w:t>Educational Attainment</w:t>
            </w:r>
          </w:p>
          <w:p w14:paraId="545A5B0D" w14:textId="77777777" w:rsidR="000B0FBC" w:rsidRPr="000B0FBC" w:rsidRDefault="000B0FBC" w:rsidP="005761F9">
            <w:pPr>
              <w:pStyle w:val="ListParagraph"/>
              <w:numPr>
                <w:ilvl w:val="0"/>
                <w:numId w:val="9"/>
              </w:numPr>
              <w:spacing w:after="6" w:line="200" w:lineRule="exact"/>
              <w:rPr>
                <w:szCs w:val="22"/>
              </w:rPr>
            </w:pPr>
            <w:r w:rsidRPr="000B0FBC">
              <w:rPr>
                <w:szCs w:val="22"/>
              </w:rPr>
              <w:t xml:space="preserve">Low; 73% have less than an </w:t>
            </w:r>
            <w:proofErr w:type="gramStart"/>
            <w:r w:rsidRPr="000B0FBC">
              <w:rPr>
                <w:szCs w:val="22"/>
              </w:rPr>
              <w:t>Associate</w:t>
            </w:r>
            <w:proofErr w:type="gramEnd"/>
            <w:r w:rsidRPr="000B0FBC">
              <w:rPr>
                <w:szCs w:val="22"/>
              </w:rPr>
              <w:t xml:space="preserve"> degree</w:t>
            </w:r>
          </w:p>
          <w:p w14:paraId="2963F44A" w14:textId="77777777" w:rsidR="000B0FBC" w:rsidRPr="000B0FBC" w:rsidRDefault="000B0FBC" w:rsidP="005761F9">
            <w:pPr>
              <w:pStyle w:val="ListParagraph"/>
              <w:numPr>
                <w:ilvl w:val="0"/>
                <w:numId w:val="9"/>
              </w:numPr>
              <w:spacing w:after="6" w:line="200" w:lineRule="exact"/>
              <w:rPr>
                <w:szCs w:val="22"/>
              </w:rPr>
            </w:pPr>
            <w:r w:rsidRPr="000B0FBC">
              <w:rPr>
                <w:szCs w:val="22"/>
              </w:rPr>
              <w:t xml:space="preserve">Rates are even lower in West Kern County, where 78% have less than an </w:t>
            </w:r>
            <w:proofErr w:type="gramStart"/>
            <w:r w:rsidRPr="000B0FBC">
              <w:rPr>
                <w:szCs w:val="22"/>
              </w:rPr>
              <w:t>Associate</w:t>
            </w:r>
            <w:proofErr w:type="gramEnd"/>
            <w:r w:rsidRPr="000B0FBC">
              <w:rPr>
                <w:szCs w:val="22"/>
              </w:rPr>
              <w:t xml:space="preserve"> degree, and in the city of Taft where the percentage is 85%</w:t>
            </w:r>
          </w:p>
          <w:p w14:paraId="7A9F8A4E" w14:textId="77777777" w:rsidR="000B0FBC" w:rsidRPr="000B0FBC" w:rsidRDefault="000B0FBC" w:rsidP="00B13ECD">
            <w:pPr>
              <w:spacing w:after="6" w:line="200" w:lineRule="exact"/>
              <w:rPr>
                <w:szCs w:val="22"/>
              </w:rPr>
            </w:pPr>
          </w:p>
          <w:p w14:paraId="5589C0DB" w14:textId="77777777" w:rsidR="000B0FBC" w:rsidRPr="000B0FBC" w:rsidRDefault="000B0FBC" w:rsidP="00B13ECD">
            <w:pPr>
              <w:spacing w:after="6" w:line="200" w:lineRule="exact"/>
              <w:rPr>
                <w:b/>
                <w:bCs/>
                <w:szCs w:val="22"/>
              </w:rPr>
            </w:pPr>
            <w:r w:rsidRPr="000B0FBC">
              <w:rPr>
                <w:b/>
                <w:bCs/>
                <w:szCs w:val="22"/>
              </w:rPr>
              <w:t>Age Distribution</w:t>
            </w:r>
          </w:p>
          <w:p w14:paraId="20B86867" w14:textId="77777777" w:rsidR="000B0FBC" w:rsidRPr="000B0FBC" w:rsidRDefault="000B0FBC" w:rsidP="005761F9">
            <w:pPr>
              <w:pStyle w:val="ListParagraph"/>
              <w:numPr>
                <w:ilvl w:val="0"/>
                <w:numId w:val="13"/>
              </w:numPr>
              <w:spacing w:after="6" w:line="200" w:lineRule="exact"/>
              <w:rPr>
                <w:szCs w:val="22"/>
              </w:rPr>
            </w:pPr>
            <w:r w:rsidRPr="000B0FBC">
              <w:rPr>
                <w:szCs w:val="22"/>
              </w:rPr>
              <w:t>Slightly younger population</w:t>
            </w:r>
          </w:p>
          <w:p w14:paraId="5D89FEE6" w14:textId="77777777" w:rsidR="000B0FBC" w:rsidRPr="000B0FBC" w:rsidRDefault="000B0FBC" w:rsidP="00B13ECD">
            <w:pPr>
              <w:spacing w:after="6" w:line="200" w:lineRule="exact"/>
              <w:rPr>
                <w:szCs w:val="22"/>
              </w:rPr>
            </w:pPr>
          </w:p>
          <w:p w14:paraId="1204A256" w14:textId="77777777" w:rsidR="000B0FBC" w:rsidRPr="000B0FBC" w:rsidRDefault="000B0FBC" w:rsidP="00B13ECD">
            <w:pPr>
              <w:spacing w:after="6" w:line="200" w:lineRule="exact"/>
              <w:rPr>
                <w:b/>
                <w:bCs/>
                <w:szCs w:val="22"/>
              </w:rPr>
            </w:pPr>
            <w:r w:rsidRPr="000B0FBC">
              <w:rPr>
                <w:b/>
                <w:bCs/>
                <w:szCs w:val="22"/>
              </w:rPr>
              <w:t>Ethnicity</w:t>
            </w:r>
          </w:p>
          <w:p w14:paraId="56D47C7B" w14:textId="77777777" w:rsidR="000B0FBC" w:rsidRPr="000B0FBC" w:rsidRDefault="000B0FBC" w:rsidP="005761F9">
            <w:pPr>
              <w:pStyle w:val="ListParagraph"/>
              <w:numPr>
                <w:ilvl w:val="0"/>
                <w:numId w:val="12"/>
              </w:numPr>
              <w:spacing w:after="6" w:line="200" w:lineRule="exact"/>
              <w:rPr>
                <w:szCs w:val="22"/>
              </w:rPr>
            </w:pPr>
            <w:r w:rsidRPr="000B0FBC">
              <w:rPr>
                <w:szCs w:val="22"/>
              </w:rPr>
              <w:t>Majority Latino (57%) followed by White (30%), Black (6%) and Asian (6%)</w:t>
            </w:r>
          </w:p>
          <w:p w14:paraId="30B86036" w14:textId="77777777" w:rsidR="000B0FBC" w:rsidRPr="000B0FBC" w:rsidRDefault="000B0FBC" w:rsidP="00B13ECD">
            <w:pPr>
              <w:spacing w:after="6" w:line="200" w:lineRule="exact"/>
              <w:rPr>
                <w:szCs w:val="22"/>
              </w:rPr>
            </w:pPr>
          </w:p>
          <w:p w14:paraId="2C4FD62E" w14:textId="77777777" w:rsidR="000B0FBC" w:rsidRPr="000B0FBC" w:rsidRDefault="000B0FBC" w:rsidP="00B13ECD">
            <w:pPr>
              <w:spacing w:after="6" w:line="200" w:lineRule="exact"/>
              <w:rPr>
                <w:b/>
                <w:bCs/>
                <w:szCs w:val="22"/>
              </w:rPr>
            </w:pPr>
            <w:r w:rsidRPr="000B0FBC">
              <w:rPr>
                <w:b/>
                <w:bCs/>
                <w:szCs w:val="22"/>
              </w:rPr>
              <w:t>Origin of Birth</w:t>
            </w:r>
          </w:p>
          <w:p w14:paraId="0DD85F08" w14:textId="77777777" w:rsidR="000B0FBC" w:rsidRPr="000B0FBC" w:rsidRDefault="000B0FBC" w:rsidP="005761F9">
            <w:pPr>
              <w:pStyle w:val="ListParagraph"/>
              <w:numPr>
                <w:ilvl w:val="0"/>
                <w:numId w:val="12"/>
              </w:numPr>
              <w:spacing w:after="6" w:line="200" w:lineRule="exact"/>
              <w:rPr>
                <w:szCs w:val="22"/>
              </w:rPr>
            </w:pPr>
            <w:r w:rsidRPr="000B0FBC">
              <w:rPr>
                <w:szCs w:val="22"/>
              </w:rPr>
              <w:t>Nearly one fifth foreign born</w:t>
            </w:r>
          </w:p>
          <w:p w14:paraId="40C271D9" w14:textId="77777777" w:rsidR="000B0FBC" w:rsidRPr="000B0FBC" w:rsidRDefault="000B0FBC" w:rsidP="005761F9">
            <w:pPr>
              <w:pStyle w:val="ListParagraph"/>
              <w:numPr>
                <w:ilvl w:val="0"/>
                <w:numId w:val="12"/>
              </w:numPr>
              <w:spacing w:after="6" w:line="200" w:lineRule="exact"/>
              <w:rPr>
                <w:szCs w:val="22"/>
              </w:rPr>
            </w:pPr>
            <w:r w:rsidRPr="000B0FBC">
              <w:rPr>
                <w:szCs w:val="22"/>
              </w:rPr>
              <w:t>Nearly half speak a language other than English at home</w:t>
            </w:r>
          </w:p>
          <w:p w14:paraId="7E9677A8" w14:textId="77777777" w:rsidR="000B0FBC" w:rsidRPr="000B0FBC" w:rsidRDefault="000B0FBC" w:rsidP="00B13ECD">
            <w:pPr>
              <w:spacing w:after="6" w:line="200" w:lineRule="exact"/>
              <w:rPr>
                <w:szCs w:val="22"/>
              </w:rPr>
            </w:pPr>
          </w:p>
          <w:p w14:paraId="6D796276" w14:textId="77777777" w:rsidR="000B0FBC" w:rsidRPr="000B0FBC" w:rsidRDefault="000B0FBC" w:rsidP="00B13ECD">
            <w:pPr>
              <w:spacing w:after="6" w:line="200" w:lineRule="exact"/>
              <w:rPr>
                <w:b/>
                <w:bCs/>
                <w:szCs w:val="22"/>
              </w:rPr>
            </w:pPr>
            <w:r w:rsidRPr="000B0FBC">
              <w:rPr>
                <w:b/>
                <w:bCs/>
                <w:szCs w:val="22"/>
              </w:rPr>
              <w:t>High Schools</w:t>
            </w:r>
          </w:p>
          <w:p w14:paraId="64C34193" w14:textId="77777777" w:rsidR="000B0FBC" w:rsidRPr="000B0FBC" w:rsidRDefault="000B0FBC" w:rsidP="005761F9">
            <w:pPr>
              <w:pStyle w:val="ListParagraph"/>
              <w:numPr>
                <w:ilvl w:val="0"/>
                <w:numId w:val="15"/>
              </w:numPr>
              <w:spacing w:after="6" w:line="200" w:lineRule="exact"/>
              <w:rPr>
                <w:szCs w:val="22"/>
              </w:rPr>
            </w:pPr>
            <w:r w:rsidRPr="000B0FBC">
              <w:rPr>
                <w:szCs w:val="22"/>
              </w:rPr>
              <w:t>Modest growth projected</w:t>
            </w:r>
          </w:p>
          <w:p w14:paraId="31B79638" w14:textId="77777777" w:rsidR="000B0FBC" w:rsidRPr="000B0FBC" w:rsidRDefault="000B0FBC" w:rsidP="005761F9">
            <w:pPr>
              <w:pStyle w:val="ListParagraph"/>
              <w:numPr>
                <w:ilvl w:val="0"/>
                <w:numId w:val="15"/>
              </w:numPr>
              <w:spacing w:after="6" w:line="200" w:lineRule="exact"/>
              <w:rPr>
                <w:szCs w:val="22"/>
              </w:rPr>
            </w:pPr>
            <w:r w:rsidRPr="000B0FBC">
              <w:rPr>
                <w:szCs w:val="22"/>
              </w:rPr>
              <w:t>Majority Latino</w:t>
            </w:r>
          </w:p>
          <w:p w14:paraId="6B0AB8CF" w14:textId="77777777" w:rsidR="000B0FBC" w:rsidRPr="000B0FBC" w:rsidRDefault="000B0FBC" w:rsidP="005761F9">
            <w:pPr>
              <w:pStyle w:val="ListParagraph"/>
              <w:numPr>
                <w:ilvl w:val="0"/>
                <w:numId w:val="15"/>
              </w:numPr>
              <w:spacing w:after="6" w:line="200" w:lineRule="exact"/>
              <w:rPr>
                <w:szCs w:val="22"/>
              </w:rPr>
            </w:pPr>
            <w:r w:rsidRPr="000B0FBC">
              <w:rPr>
                <w:szCs w:val="22"/>
              </w:rPr>
              <w:t>Vast majority of English Language Learners speak Spanish</w:t>
            </w:r>
          </w:p>
          <w:p w14:paraId="1560CE92" w14:textId="77777777" w:rsidR="000B0FBC" w:rsidRPr="000B0FBC" w:rsidRDefault="000B0FBC" w:rsidP="005761F9">
            <w:pPr>
              <w:pStyle w:val="ListParagraph"/>
              <w:numPr>
                <w:ilvl w:val="0"/>
                <w:numId w:val="15"/>
              </w:numPr>
              <w:spacing w:after="6" w:line="200" w:lineRule="exact"/>
              <w:rPr>
                <w:szCs w:val="22"/>
              </w:rPr>
            </w:pPr>
            <w:r w:rsidRPr="000B0FBC">
              <w:rPr>
                <w:szCs w:val="22"/>
              </w:rPr>
              <w:t>Very low college-going rates</w:t>
            </w:r>
          </w:p>
          <w:p w14:paraId="3DE163C6" w14:textId="77777777" w:rsidR="000B0FBC" w:rsidRPr="000B0FBC" w:rsidRDefault="000B0FBC" w:rsidP="00B13ECD">
            <w:pPr>
              <w:spacing w:after="6" w:line="200" w:lineRule="exact"/>
              <w:rPr>
                <w:szCs w:val="22"/>
              </w:rPr>
            </w:pPr>
          </w:p>
          <w:p w14:paraId="0ABD6745" w14:textId="77777777" w:rsidR="000B0FBC" w:rsidRPr="000B0FBC" w:rsidRDefault="000B0FBC" w:rsidP="00B13ECD">
            <w:pPr>
              <w:spacing w:after="6" w:line="200" w:lineRule="exact"/>
              <w:rPr>
                <w:b/>
                <w:bCs/>
                <w:szCs w:val="22"/>
              </w:rPr>
            </w:pPr>
            <w:r w:rsidRPr="000B0FBC">
              <w:rPr>
                <w:b/>
                <w:bCs/>
                <w:szCs w:val="22"/>
              </w:rPr>
              <w:t>Socioeconomic Status</w:t>
            </w:r>
          </w:p>
          <w:p w14:paraId="1F2F685B" w14:textId="77777777" w:rsidR="000B0FBC" w:rsidRPr="000B0FBC" w:rsidRDefault="000B0FBC" w:rsidP="005761F9">
            <w:pPr>
              <w:pStyle w:val="ListParagraph"/>
              <w:numPr>
                <w:ilvl w:val="0"/>
                <w:numId w:val="14"/>
              </w:numPr>
              <w:spacing w:after="6" w:line="200" w:lineRule="exact"/>
              <w:rPr>
                <w:szCs w:val="22"/>
              </w:rPr>
            </w:pPr>
            <w:r w:rsidRPr="000B0FBC">
              <w:rPr>
                <w:szCs w:val="22"/>
              </w:rPr>
              <w:t>Lower income, higher poverty, especially in Taft/West Kern County</w:t>
            </w:r>
          </w:p>
          <w:p w14:paraId="78C33DED" w14:textId="77777777" w:rsidR="000B0FBC" w:rsidRPr="000B0FBC" w:rsidRDefault="000B0FBC" w:rsidP="00B13ECD">
            <w:pPr>
              <w:spacing w:after="6" w:line="200" w:lineRule="exact"/>
              <w:rPr>
                <w:szCs w:val="22"/>
              </w:rPr>
            </w:pPr>
          </w:p>
          <w:p w14:paraId="752BA940" w14:textId="77777777" w:rsidR="000B0FBC" w:rsidRPr="000B0FBC" w:rsidRDefault="000B0FBC" w:rsidP="00B13ECD">
            <w:pPr>
              <w:spacing w:after="6" w:line="200" w:lineRule="exact"/>
              <w:rPr>
                <w:b/>
                <w:bCs/>
                <w:szCs w:val="22"/>
              </w:rPr>
            </w:pPr>
            <w:r w:rsidRPr="000B0FBC">
              <w:rPr>
                <w:b/>
                <w:bCs/>
                <w:szCs w:val="22"/>
              </w:rPr>
              <w:t>Labor Market</w:t>
            </w:r>
          </w:p>
          <w:p w14:paraId="2708FBB4" w14:textId="77777777" w:rsidR="000B0FBC" w:rsidRPr="000B0FBC" w:rsidRDefault="000B0FBC" w:rsidP="005761F9">
            <w:pPr>
              <w:pStyle w:val="ListParagraph"/>
              <w:numPr>
                <w:ilvl w:val="0"/>
                <w:numId w:val="16"/>
              </w:numPr>
              <w:spacing w:after="6" w:line="200" w:lineRule="exact"/>
              <w:rPr>
                <w:szCs w:val="22"/>
              </w:rPr>
            </w:pPr>
            <w:r w:rsidRPr="000B0FBC">
              <w:rPr>
                <w:szCs w:val="22"/>
              </w:rPr>
              <w:t>Regionally, numerous opportunities to expand college programs leading to in-demand and higher wage jobs, with the largest potential gaps in workforce supply in Health, Business &amp; Entrepreneurship, and Energy, Construction &amp; Utilities</w:t>
            </w:r>
          </w:p>
          <w:p w14:paraId="1EAD012F" w14:textId="77777777" w:rsidR="000B0FBC" w:rsidRPr="000B0FBC" w:rsidRDefault="000B0FBC" w:rsidP="005761F9">
            <w:pPr>
              <w:pStyle w:val="ListParagraph"/>
              <w:numPr>
                <w:ilvl w:val="0"/>
                <w:numId w:val="16"/>
              </w:numPr>
              <w:spacing w:after="6" w:line="200" w:lineRule="exact"/>
              <w:rPr>
                <w:szCs w:val="22"/>
              </w:rPr>
            </w:pPr>
            <w:r w:rsidRPr="000B0FBC">
              <w:rPr>
                <w:szCs w:val="22"/>
              </w:rPr>
              <w:t>Nationally, 20% of workers do remote work, and 16% of companies are fully remote, with the largest online industries being Computer/IT, Accounting, and Marketing</w:t>
            </w:r>
          </w:p>
        </w:tc>
        <w:tc>
          <w:tcPr>
            <w:tcW w:w="3600" w:type="dxa"/>
            <w:shd w:val="clear" w:color="auto" w:fill="E2EFD9" w:themeFill="accent6" w:themeFillTint="33"/>
          </w:tcPr>
          <w:p w14:paraId="6E1324EA" w14:textId="77777777" w:rsidR="000B0FBC" w:rsidRPr="000B0FBC" w:rsidRDefault="000B0FBC" w:rsidP="00B13ECD">
            <w:pPr>
              <w:spacing w:after="6" w:line="200" w:lineRule="exact"/>
              <w:rPr>
                <w:b/>
                <w:bCs/>
                <w:color w:val="538135" w:themeColor="accent6" w:themeShade="BF"/>
                <w:szCs w:val="22"/>
              </w:rPr>
            </w:pPr>
          </w:p>
          <w:p w14:paraId="05C0FBFE" w14:textId="3B92D1DD" w:rsidR="000B0FBC" w:rsidRDefault="000B0FBC" w:rsidP="003066FE">
            <w:pPr>
              <w:spacing w:after="6" w:line="200" w:lineRule="exact"/>
              <w:jc w:val="center"/>
              <w:rPr>
                <w:b/>
                <w:bCs/>
                <w:i/>
                <w:iCs/>
                <w:color w:val="538135" w:themeColor="accent6" w:themeShade="BF"/>
                <w:sz w:val="24"/>
              </w:rPr>
            </w:pPr>
            <w:r w:rsidRPr="000B0FBC">
              <w:rPr>
                <w:b/>
                <w:bCs/>
                <w:i/>
                <w:iCs/>
                <w:color w:val="538135" w:themeColor="accent6" w:themeShade="BF"/>
                <w:sz w:val="24"/>
              </w:rPr>
              <w:t>Taft College Overall (2023-2024)</w:t>
            </w:r>
          </w:p>
          <w:p w14:paraId="6C39923D" w14:textId="77777777" w:rsidR="005A4DC0" w:rsidRPr="000B0FBC" w:rsidRDefault="005A4DC0" w:rsidP="003066FE">
            <w:pPr>
              <w:spacing w:after="6" w:line="200" w:lineRule="exact"/>
              <w:jc w:val="center"/>
              <w:rPr>
                <w:b/>
                <w:bCs/>
                <w:i/>
                <w:iCs/>
                <w:color w:val="538135" w:themeColor="accent6" w:themeShade="BF"/>
                <w:szCs w:val="22"/>
              </w:rPr>
            </w:pPr>
          </w:p>
          <w:p w14:paraId="578FF6A5" w14:textId="77777777" w:rsidR="000B0FBC" w:rsidRPr="000B0FBC" w:rsidRDefault="000B0FBC" w:rsidP="00B13ECD">
            <w:pPr>
              <w:spacing w:after="6" w:line="200" w:lineRule="exact"/>
              <w:rPr>
                <w:b/>
                <w:bCs/>
                <w:szCs w:val="22"/>
              </w:rPr>
            </w:pPr>
            <w:r w:rsidRPr="000B0FBC">
              <w:rPr>
                <w:b/>
                <w:bCs/>
                <w:szCs w:val="22"/>
              </w:rPr>
              <w:t xml:space="preserve">Headcount                                  </w:t>
            </w:r>
            <w:r w:rsidRPr="000B0FBC">
              <w:rPr>
                <w:szCs w:val="22"/>
              </w:rPr>
              <w:t>8,414</w:t>
            </w:r>
            <w:r w:rsidRPr="000B0FBC">
              <w:rPr>
                <w:b/>
                <w:bCs/>
                <w:szCs w:val="22"/>
              </w:rPr>
              <w:t xml:space="preserve">          </w:t>
            </w:r>
          </w:p>
          <w:p w14:paraId="48F5FAB2" w14:textId="77777777" w:rsidR="000B0FBC" w:rsidRPr="000B0FBC" w:rsidRDefault="000B0FBC" w:rsidP="00B13ECD">
            <w:pPr>
              <w:spacing w:after="6" w:line="200" w:lineRule="exact"/>
              <w:rPr>
                <w:b/>
                <w:bCs/>
                <w:szCs w:val="22"/>
              </w:rPr>
            </w:pPr>
            <w:r w:rsidRPr="000B0FBC">
              <w:rPr>
                <w:b/>
                <w:bCs/>
                <w:szCs w:val="22"/>
              </w:rPr>
              <w:t xml:space="preserve">FTES                                              </w:t>
            </w:r>
            <w:r w:rsidRPr="000B0FBC">
              <w:rPr>
                <w:szCs w:val="22"/>
              </w:rPr>
              <w:t>2,096</w:t>
            </w:r>
          </w:p>
          <w:p w14:paraId="1F9F67F1" w14:textId="77777777" w:rsidR="000B0FBC" w:rsidRPr="000B0FBC" w:rsidRDefault="000B0FBC" w:rsidP="00B13ECD">
            <w:pPr>
              <w:spacing w:after="6" w:line="200" w:lineRule="exact"/>
              <w:rPr>
                <w:b/>
                <w:bCs/>
                <w:i/>
                <w:iCs/>
                <w:color w:val="538135" w:themeColor="accent6" w:themeShade="BF"/>
                <w:szCs w:val="22"/>
              </w:rPr>
            </w:pPr>
          </w:p>
          <w:p w14:paraId="416343E5" w14:textId="77777777" w:rsidR="000B0FBC" w:rsidRPr="000B0FBC" w:rsidRDefault="000B0FBC" w:rsidP="00B13ECD">
            <w:pPr>
              <w:spacing w:after="6" w:line="200" w:lineRule="exact"/>
              <w:rPr>
                <w:b/>
                <w:bCs/>
                <w:color w:val="538135" w:themeColor="accent6" w:themeShade="BF"/>
                <w:szCs w:val="22"/>
                <w:u w:val="single"/>
              </w:rPr>
            </w:pPr>
            <w:r w:rsidRPr="000B0FBC">
              <w:rPr>
                <w:b/>
                <w:bCs/>
                <w:color w:val="538135" w:themeColor="accent6" w:themeShade="BF"/>
                <w:szCs w:val="22"/>
                <w:u w:val="single"/>
              </w:rPr>
              <w:t>Taft Campus</w:t>
            </w:r>
          </w:p>
          <w:p w14:paraId="18307CA3" w14:textId="77777777" w:rsidR="000B0FBC" w:rsidRPr="000B0FBC" w:rsidRDefault="000B0FBC" w:rsidP="00B13ECD">
            <w:pPr>
              <w:spacing w:after="6" w:line="200" w:lineRule="exact"/>
              <w:rPr>
                <w:szCs w:val="22"/>
              </w:rPr>
            </w:pPr>
            <w:r w:rsidRPr="000B0FBC">
              <w:rPr>
                <w:b/>
                <w:bCs/>
                <w:szCs w:val="22"/>
              </w:rPr>
              <w:t xml:space="preserve">Students                                      </w:t>
            </w:r>
          </w:p>
          <w:p w14:paraId="172A47E4" w14:textId="77777777" w:rsidR="000B0FBC" w:rsidRPr="000B0FBC" w:rsidRDefault="000B0FBC" w:rsidP="00B13ECD">
            <w:pPr>
              <w:spacing w:after="6" w:line="200" w:lineRule="exact"/>
              <w:rPr>
                <w:szCs w:val="22"/>
              </w:rPr>
            </w:pPr>
            <w:r w:rsidRPr="000B0FBC">
              <w:rPr>
                <w:szCs w:val="22"/>
              </w:rPr>
              <w:t xml:space="preserve">  Headcount                                 3,414</w:t>
            </w:r>
          </w:p>
          <w:p w14:paraId="4C14C507" w14:textId="77777777" w:rsidR="000B0FBC" w:rsidRPr="000B0FBC" w:rsidRDefault="000B0FBC" w:rsidP="00B13ECD">
            <w:pPr>
              <w:spacing w:after="6" w:line="200" w:lineRule="exact"/>
              <w:rPr>
                <w:szCs w:val="22"/>
              </w:rPr>
            </w:pPr>
            <w:r w:rsidRPr="000B0FBC">
              <w:rPr>
                <w:szCs w:val="22"/>
              </w:rPr>
              <w:t xml:space="preserve">  FTES                                            1,915</w:t>
            </w:r>
          </w:p>
          <w:p w14:paraId="53D77728" w14:textId="77777777" w:rsidR="000B0FBC" w:rsidRPr="000B0FBC" w:rsidRDefault="000B0FBC" w:rsidP="00B13ECD">
            <w:pPr>
              <w:spacing w:after="6" w:line="200" w:lineRule="exact"/>
              <w:rPr>
                <w:szCs w:val="22"/>
              </w:rPr>
            </w:pPr>
          </w:p>
          <w:p w14:paraId="0C031CAA" w14:textId="77777777" w:rsidR="000B0FBC" w:rsidRPr="000B0FBC" w:rsidRDefault="000B0FBC" w:rsidP="00B13ECD">
            <w:pPr>
              <w:spacing w:after="6" w:line="200" w:lineRule="exact"/>
              <w:rPr>
                <w:b/>
                <w:bCs/>
                <w:szCs w:val="22"/>
              </w:rPr>
            </w:pPr>
            <w:r w:rsidRPr="000B0FBC">
              <w:rPr>
                <w:b/>
                <w:bCs/>
                <w:szCs w:val="22"/>
              </w:rPr>
              <w:t>Gender</w:t>
            </w:r>
          </w:p>
          <w:p w14:paraId="6E6F6525" w14:textId="77777777" w:rsidR="000B0FBC" w:rsidRPr="000B0FBC" w:rsidRDefault="000B0FBC" w:rsidP="00B13ECD">
            <w:pPr>
              <w:spacing w:after="6" w:line="200" w:lineRule="exact"/>
              <w:rPr>
                <w:szCs w:val="22"/>
              </w:rPr>
            </w:pPr>
            <w:r w:rsidRPr="000B0FBC">
              <w:rPr>
                <w:szCs w:val="22"/>
              </w:rPr>
              <w:t xml:space="preserve">  Female                                       66.6%</w:t>
            </w:r>
          </w:p>
          <w:p w14:paraId="42882FE8" w14:textId="77777777" w:rsidR="000B0FBC" w:rsidRPr="000B0FBC" w:rsidRDefault="000B0FBC" w:rsidP="00B13ECD">
            <w:pPr>
              <w:spacing w:after="6" w:line="200" w:lineRule="exact"/>
              <w:rPr>
                <w:szCs w:val="22"/>
              </w:rPr>
            </w:pPr>
            <w:r w:rsidRPr="000B0FBC">
              <w:rPr>
                <w:szCs w:val="22"/>
              </w:rPr>
              <w:t xml:space="preserve">  Male                                           31.7%</w:t>
            </w:r>
          </w:p>
          <w:p w14:paraId="7DA2ADAC" w14:textId="77777777" w:rsidR="000B0FBC" w:rsidRPr="000B0FBC" w:rsidRDefault="000B0FBC" w:rsidP="00B13ECD">
            <w:pPr>
              <w:spacing w:after="6" w:line="200" w:lineRule="exact"/>
              <w:rPr>
                <w:szCs w:val="22"/>
              </w:rPr>
            </w:pPr>
            <w:r w:rsidRPr="000B0FBC">
              <w:rPr>
                <w:szCs w:val="22"/>
              </w:rPr>
              <w:t xml:space="preserve">  Other/Unknown                         1.7%</w:t>
            </w:r>
          </w:p>
          <w:p w14:paraId="64ED89E1" w14:textId="77777777" w:rsidR="000B0FBC" w:rsidRPr="000B0FBC" w:rsidRDefault="000B0FBC" w:rsidP="00B13ECD">
            <w:pPr>
              <w:spacing w:after="6" w:line="200" w:lineRule="exact"/>
              <w:rPr>
                <w:szCs w:val="22"/>
              </w:rPr>
            </w:pPr>
          </w:p>
          <w:p w14:paraId="07CF7A3F" w14:textId="77777777" w:rsidR="000B0FBC" w:rsidRPr="000B0FBC" w:rsidRDefault="000B0FBC" w:rsidP="00B13ECD">
            <w:pPr>
              <w:spacing w:after="6" w:line="200" w:lineRule="exact"/>
              <w:rPr>
                <w:b/>
                <w:bCs/>
                <w:szCs w:val="22"/>
              </w:rPr>
            </w:pPr>
            <w:r w:rsidRPr="000B0FBC">
              <w:rPr>
                <w:b/>
                <w:bCs/>
                <w:szCs w:val="22"/>
              </w:rPr>
              <w:t xml:space="preserve">Ethnicity       </w:t>
            </w:r>
          </w:p>
          <w:p w14:paraId="3D917FE1" w14:textId="77777777" w:rsidR="000B0FBC" w:rsidRPr="000B0FBC" w:rsidRDefault="000B0FBC" w:rsidP="00B13ECD">
            <w:pPr>
              <w:spacing w:after="6" w:line="200" w:lineRule="exact"/>
              <w:rPr>
                <w:szCs w:val="22"/>
              </w:rPr>
            </w:pPr>
            <w:r w:rsidRPr="000B0FBC">
              <w:rPr>
                <w:szCs w:val="22"/>
              </w:rPr>
              <w:t xml:space="preserve">  Black                                             4.3%</w:t>
            </w:r>
          </w:p>
          <w:p w14:paraId="11E3AF09" w14:textId="77777777" w:rsidR="000B0FBC" w:rsidRPr="000B0FBC" w:rsidRDefault="000B0FBC" w:rsidP="00B13ECD">
            <w:pPr>
              <w:spacing w:after="6" w:line="200" w:lineRule="exact"/>
              <w:rPr>
                <w:szCs w:val="22"/>
              </w:rPr>
            </w:pPr>
            <w:r w:rsidRPr="000B0FBC">
              <w:rPr>
                <w:szCs w:val="22"/>
              </w:rPr>
              <w:t xml:space="preserve">  Am Indian/AK Native                 0.5%</w:t>
            </w:r>
          </w:p>
          <w:p w14:paraId="66BEAD01" w14:textId="77777777" w:rsidR="000B0FBC" w:rsidRPr="000B0FBC" w:rsidRDefault="000B0FBC" w:rsidP="00B13ECD">
            <w:pPr>
              <w:spacing w:after="6" w:line="200" w:lineRule="exact"/>
              <w:rPr>
                <w:szCs w:val="22"/>
              </w:rPr>
            </w:pPr>
            <w:r w:rsidRPr="000B0FBC">
              <w:rPr>
                <w:szCs w:val="22"/>
              </w:rPr>
              <w:t xml:space="preserve">  Asian                                             3.0%</w:t>
            </w:r>
          </w:p>
          <w:p w14:paraId="3BFFFD2B" w14:textId="77777777" w:rsidR="000B0FBC" w:rsidRPr="000B0FBC" w:rsidRDefault="000B0FBC" w:rsidP="00B13ECD">
            <w:pPr>
              <w:spacing w:after="6" w:line="200" w:lineRule="exact"/>
              <w:rPr>
                <w:szCs w:val="22"/>
              </w:rPr>
            </w:pPr>
            <w:r w:rsidRPr="000B0FBC">
              <w:rPr>
                <w:szCs w:val="22"/>
              </w:rPr>
              <w:t xml:space="preserve">  Latino                                         59.3%</w:t>
            </w:r>
          </w:p>
          <w:p w14:paraId="66A0337C" w14:textId="77777777" w:rsidR="000B0FBC" w:rsidRPr="000B0FBC" w:rsidRDefault="000B0FBC" w:rsidP="00B13ECD">
            <w:pPr>
              <w:spacing w:after="6" w:line="200" w:lineRule="exact"/>
              <w:rPr>
                <w:szCs w:val="22"/>
              </w:rPr>
            </w:pPr>
            <w:r w:rsidRPr="000B0FBC">
              <w:rPr>
                <w:szCs w:val="22"/>
              </w:rPr>
              <w:t xml:space="preserve">  International                               0.2%</w:t>
            </w:r>
          </w:p>
          <w:p w14:paraId="2AE40639" w14:textId="77777777" w:rsidR="000B0FBC" w:rsidRPr="000B0FBC" w:rsidRDefault="000B0FBC" w:rsidP="00B13ECD">
            <w:pPr>
              <w:spacing w:after="6" w:line="200" w:lineRule="exact"/>
              <w:rPr>
                <w:szCs w:val="22"/>
              </w:rPr>
            </w:pPr>
            <w:r w:rsidRPr="000B0FBC">
              <w:rPr>
                <w:szCs w:val="22"/>
              </w:rPr>
              <w:t xml:space="preserve">  Multi Ethnicity                            4.1%</w:t>
            </w:r>
          </w:p>
          <w:p w14:paraId="08CF7AF3" w14:textId="77777777" w:rsidR="000B0FBC" w:rsidRPr="000B0FBC" w:rsidRDefault="000B0FBC" w:rsidP="00B13ECD">
            <w:pPr>
              <w:spacing w:after="6" w:line="200" w:lineRule="exact"/>
              <w:rPr>
                <w:szCs w:val="22"/>
              </w:rPr>
            </w:pPr>
            <w:r w:rsidRPr="000B0FBC">
              <w:rPr>
                <w:szCs w:val="22"/>
              </w:rPr>
              <w:t xml:space="preserve">  HI/Pacific Islander                      0.2%</w:t>
            </w:r>
          </w:p>
          <w:p w14:paraId="1AAC5F45" w14:textId="77777777" w:rsidR="000B0FBC" w:rsidRPr="000B0FBC" w:rsidRDefault="000B0FBC" w:rsidP="00B13ECD">
            <w:pPr>
              <w:spacing w:after="6" w:line="200" w:lineRule="exact"/>
              <w:rPr>
                <w:szCs w:val="22"/>
              </w:rPr>
            </w:pPr>
            <w:r w:rsidRPr="000B0FBC">
              <w:rPr>
                <w:szCs w:val="22"/>
              </w:rPr>
              <w:t xml:space="preserve">  White                                         26.6%</w:t>
            </w:r>
          </w:p>
          <w:p w14:paraId="61CFAD3C" w14:textId="77777777" w:rsidR="000B0FBC" w:rsidRPr="000B0FBC" w:rsidRDefault="000B0FBC" w:rsidP="00B13ECD">
            <w:pPr>
              <w:spacing w:after="6" w:line="200" w:lineRule="exact"/>
              <w:rPr>
                <w:szCs w:val="22"/>
              </w:rPr>
            </w:pPr>
            <w:r w:rsidRPr="000B0FBC">
              <w:rPr>
                <w:szCs w:val="22"/>
              </w:rPr>
              <w:t xml:space="preserve">  Unknown                                     1.9%</w:t>
            </w:r>
          </w:p>
          <w:p w14:paraId="7735C876" w14:textId="77777777" w:rsidR="000B0FBC" w:rsidRPr="000B0FBC" w:rsidRDefault="000B0FBC" w:rsidP="00B13ECD">
            <w:pPr>
              <w:spacing w:after="6" w:line="200" w:lineRule="exact"/>
              <w:rPr>
                <w:szCs w:val="22"/>
              </w:rPr>
            </w:pPr>
          </w:p>
          <w:p w14:paraId="655845C2" w14:textId="77777777" w:rsidR="000B0FBC" w:rsidRPr="000B0FBC" w:rsidRDefault="000B0FBC" w:rsidP="00B13ECD">
            <w:pPr>
              <w:spacing w:after="6" w:line="200" w:lineRule="exact"/>
              <w:rPr>
                <w:b/>
                <w:bCs/>
                <w:szCs w:val="22"/>
              </w:rPr>
            </w:pPr>
            <w:r w:rsidRPr="000B0FBC">
              <w:rPr>
                <w:b/>
                <w:bCs/>
                <w:szCs w:val="22"/>
              </w:rPr>
              <w:t>Age Group</w:t>
            </w:r>
          </w:p>
          <w:p w14:paraId="06791D17" w14:textId="77777777" w:rsidR="000B0FBC" w:rsidRPr="000B0FBC" w:rsidRDefault="000B0FBC" w:rsidP="00B13ECD">
            <w:pPr>
              <w:spacing w:after="6" w:line="200" w:lineRule="exact"/>
              <w:rPr>
                <w:szCs w:val="22"/>
              </w:rPr>
            </w:pPr>
            <w:r w:rsidRPr="000B0FBC">
              <w:rPr>
                <w:szCs w:val="22"/>
              </w:rPr>
              <w:t xml:space="preserve">  Less than 18                             16.4%</w:t>
            </w:r>
          </w:p>
          <w:p w14:paraId="6F5DA743" w14:textId="77777777" w:rsidR="000B0FBC" w:rsidRPr="000B0FBC" w:rsidRDefault="000B0FBC" w:rsidP="00B13ECD">
            <w:pPr>
              <w:spacing w:after="6" w:line="200" w:lineRule="exact"/>
              <w:rPr>
                <w:szCs w:val="22"/>
              </w:rPr>
            </w:pPr>
            <w:r w:rsidRPr="000B0FBC">
              <w:rPr>
                <w:szCs w:val="22"/>
              </w:rPr>
              <w:t xml:space="preserve">  18-24                                         48.4%</w:t>
            </w:r>
          </w:p>
          <w:p w14:paraId="76E6A01C" w14:textId="77777777" w:rsidR="000B0FBC" w:rsidRPr="000B0FBC" w:rsidRDefault="000B0FBC" w:rsidP="00B13ECD">
            <w:pPr>
              <w:spacing w:after="6" w:line="200" w:lineRule="exact"/>
              <w:rPr>
                <w:szCs w:val="22"/>
              </w:rPr>
            </w:pPr>
            <w:r w:rsidRPr="000B0FBC">
              <w:rPr>
                <w:szCs w:val="22"/>
              </w:rPr>
              <w:t xml:space="preserve">  25-34                                         23.3%</w:t>
            </w:r>
          </w:p>
          <w:p w14:paraId="08994C3C" w14:textId="77777777" w:rsidR="000B0FBC" w:rsidRPr="000B0FBC" w:rsidRDefault="000B0FBC" w:rsidP="00B13ECD">
            <w:pPr>
              <w:spacing w:after="6" w:line="200" w:lineRule="exact"/>
              <w:rPr>
                <w:szCs w:val="22"/>
              </w:rPr>
            </w:pPr>
            <w:r w:rsidRPr="000B0FBC">
              <w:rPr>
                <w:szCs w:val="22"/>
              </w:rPr>
              <w:t xml:space="preserve">  35-49                                           9.4%</w:t>
            </w:r>
          </w:p>
          <w:p w14:paraId="7C0E4939" w14:textId="77777777" w:rsidR="000B0FBC" w:rsidRPr="000B0FBC" w:rsidRDefault="000B0FBC" w:rsidP="00B13ECD">
            <w:pPr>
              <w:spacing w:after="6" w:line="200" w:lineRule="exact"/>
              <w:rPr>
                <w:szCs w:val="22"/>
              </w:rPr>
            </w:pPr>
            <w:r w:rsidRPr="000B0FBC">
              <w:rPr>
                <w:szCs w:val="22"/>
              </w:rPr>
              <w:t xml:space="preserve">  50+                                               2.5%</w:t>
            </w:r>
          </w:p>
          <w:p w14:paraId="4B1C0F16" w14:textId="77777777" w:rsidR="000B0FBC" w:rsidRPr="000B0FBC" w:rsidRDefault="000B0FBC" w:rsidP="00B13ECD">
            <w:pPr>
              <w:spacing w:after="6" w:line="200" w:lineRule="exact"/>
              <w:rPr>
                <w:szCs w:val="22"/>
              </w:rPr>
            </w:pPr>
          </w:p>
          <w:p w14:paraId="0E7B90BE" w14:textId="714619D5" w:rsidR="000B0FBC" w:rsidRPr="000B0FBC" w:rsidRDefault="00CE7648" w:rsidP="00B13ECD">
            <w:pPr>
              <w:spacing w:after="6" w:line="200" w:lineRule="exact"/>
              <w:rPr>
                <w:b/>
                <w:bCs/>
                <w:color w:val="538135" w:themeColor="accent6" w:themeShade="BF"/>
                <w:szCs w:val="22"/>
                <w:u w:val="single"/>
              </w:rPr>
            </w:pPr>
            <w:r>
              <w:rPr>
                <w:b/>
                <w:bCs/>
                <w:color w:val="538135" w:themeColor="accent6" w:themeShade="BF"/>
                <w:szCs w:val="22"/>
                <w:u w:val="single"/>
              </w:rPr>
              <w:t>WESTEC</w:t>
            </w:r>
          </w:p>
          <w:p w14:paraId="356C8305" w14:textId="77777777" w:rsidR="000B0FBC" w:rsidRPr="000B0FBC" w:rsidRDefault="000B0FBC" w:rsidP="00B13ECD">
            <w:pPr>
              <w:spacing w:after="6" w:line="200" w:lineRule="exact"/>
              <w:rPr>
                <w:szCs w:val="22"/>
              </w:rPr>
            </w:pPr>
            <w:r w:rsidRPr="000B0FBC">
              <w:rPr>
                <w:b/>
                <w:bCs/>
                <w:szCs w:val="22"/>
              </w:rPr>
              <w:t xml:space="preserve">Students </w:t>
            </w:r>
            <w:r w:rsidRPr="000B0FBC">
              <w:rPr>
                <w:szCs w:val="22"/>
              </w:rPr>
              <w:t>Fall 2023</w:t>
            </w:r>
          </w:p>
          <w:p w14:paraId="1EEB20EC" w14:textId="77777777" w:rsidR="000B0FBC" w:rsidRPr="000B0FBC" w:rsidRDefault="000B0FBC" w:rsidP="00B13ECD">
            <w:pPr>
              <w:spacing w:after="6" w:line="200" w:lineRule="exact"/>
              <w:rPr>
                <w:szCs w:val="22"/>
              </w:rPr>
            </w:pPr>
            <w:r w:rsidRPr="000B0FBC">
              <w:rPr>
                <w:szCs w:val="22"/>
              </w:rPr>
              <w:t xml:space="preserve">  Headcount                                5,000</w:t>
            </w:r>
          </w:p>
          <w:p w14:paraId="3D5AC9DD" w14:textId="77777777" w:rsidR="000B0FBC" w:rsidRPr="000B0FBC" w:rsidRDefault="000B0FBC" w:rsidP="00B13ECD">
            <w:pPr>
              <w:spacing w:after="6" w:line="200" w:lineRule="exact"/>
              <w:rPr>
                <w:szCs w:val="22"/>
              </w:rPr>
            </w:pPr>
            <w:r w:rsidRPr="000B0FBC">
              <w:rPr>
                <w:szCs w:val="22"/>
              </w:rPr>
              <w:t xml:space="preserve">  FTES                                               181</w:t>
            </w:r>
          </w:p>
          <w:p w14:paraId="5EFEEBBD" w14:textId="77777777" w:rsidR="000B0FBC" w:rsidRPr="000B0FBC" w:rsidRDefault="000B0FBC" w:rsidP="00B13ECD">
            <w:pPr>
              <w:spacing w:after="6" w:line="200" w:lineRule="exact"/>
              <w:rPr>
                <w:szCs w:val="22"/>
              </w:rPr>
            </w:pPr>
          </w:p>
          <w:p w14:paraId="74A6A44C" w14:textId="77777777" w:rsidR="000B0FBC" w:rsidRPr="000B0FBC" w:rsidRDefault="000B0FBC" w:rsidP="00B13ECD">
            <w:pPr>
              <w:spacing w:after="6" w:line="200" w:lineRule="exact"/>
              <w:rPr>
                <w:b/>
                <w:bCs/>
                <w:szCs w:val="22"/>
              </w:rPr>
            </w:pPr>
            <w:r w:rsidRPr="000B0FBC">
              <w:rPr>
                <w:b/>
                <w:bCs/>
                <w:szCs w:val="22"/>
              </w:rPr>
              <w:t>Gender</w:t>
            </w:r>
          </w:p>
          <w:p w14:paraId="37F9F45E" w14:textId="77777777" w:rsidR="000B0FBC" w:rsidRPr="000B0FBC" w:rsidRDefault="000B0FBC" w:rsidP="00B13ECD">
            <w:pPr>
              <w:spacing w:after="6" w:line="200" w:lineRule="exact"/>
              <w:rPr>
                <w:szCs w:val="22"/>
              </w:rPr>
            </w:pPr>
            <w:r w:rsidRPr="000B0FBC">
              <w:rPr>
                <w:szCs w:val="22"/>
              </w:rPr>
              <w:t xml:space="preserve">  Female                                      22.2%</w:t>
            </w:r>
          </w:p>
          <w:p w14:paraId="0B207E43" w14:textId="77777777" w:rsidR="000B0FBC" w:rsidRPr="000B0FBC" w:rsidRDefault="000B0FBC" w:rsidP="00B13ECD">
            <w:pPr>
              <w:spacing w:after="6" w:line="200" w:lineRule="exact"/>
              <w:rPr>
                <w:szCs w:val="22"/>
              </w:rPr>
            </w:pPr>
            <w:r w:rsidRPr="000B0FBC">
              <w:rPr>
                <w:szCs w:val="22"/>
              </w:rPr>
              <w:t xml:space="preserve">  Male                                          77.7%</w:t>
            </w:r>
          </w:p>
          <w:p w14:paraId="78988815" w14:textId="77777777" w:rsidR="000B0FBC" w:rsidRPr="000B0FBC" w:rsidRDefault="000B0FBC" w:rsidP="00B13ECD">
            <w:pPr>
              <w:spacing w:after="6" w:line="200" w:lineRule="exact"/>
              <w:rPr>
                <w:szCs w:val="22"/>
              </w:rPr>
            </w:pPr>
            <w:r w:rsidRPr="000B0FBC">
              <w:rPr>
                <w:szCs w:val="22"/>
              </w:rPr>
              <w:t xml:space="preserve">  Other/Unknown                        0.1%</w:t>
            </w:r>
          </w:p>
          <w:p w14:paraId="0EA9933B" w14:textId="77777777" w:rsidR="000B0FBC" w:rsidRPr="000B0FBC" w:rsidRDefault="000B0FBC" w:rsidP="00B13ECD">
            <w:pPr>
              <w:spacing w:after="6" w:line="200" w:lineRule="exact"/>
              <w:rPr>
                <w:szCs w:val="22"/>
              </w:rPr>
            </w:pPr>
          </w:p>
          <w:p w14:paraId="1A81ECD1" w14:textId="77777777" w:rsidR="000B0FBC" w:rsidRPr="000B0FBC" w:rsidRDefault="000B0FBC" w:rsidP="00B13ECD">
            <w:pPr>
              <w:spacing w:after="6" w:line="200" w:lineRule="exact"/>
              <w:rPr>
                <w:b/>
                <w:bCs/>
                <w:szCs w:val="22"/>
              </w:rPr>
            </w:pPr>
            <w:r w:rsidRPr="000B0FBC">
              <w:rPr>
                <w:b/>
                <w:bCs/>
                <w:szCs w:val="22"/>
              </w:rPr>
              <w:t xml:space="preserve">Ethnicity       </w:t>
            </w:r>
          </w:p>
          <w:p w14:paraId="0566D21D" w14:textId="77777777" w:rsidR="000B0FBC" w:rsidRPr="000B0FBC" w:rsidRDefault="000B0FBC" w:rsidP="00B13ECD">
            <w:pPr>
              <w:spacing w:after="6" w:line="200" w:lineRule="exact"/>
              <w:rPr>
                <w:szCs w:val="22"/>
              </w:rPr>
            </w:pPr>
            <w:r w:rsidRPr="000B0FBC">
              <w:rPr>
                <w:szCs w:val="22"/>
              </w:rPr>
              <w:t xml:space="preserve">  Black                                           2.6%</w:t>
            </w:r>
          </w:p>
          <w:p w14:paraId="54976140" w14:textId="77777777" w:rsidR="000B0FBC" w:rsidRPr="000B0FBC" w:rsidRDefault="000B0FBC" w:rsidP="00B13ECD">
            <w:pPr>
              <w:spacing w:after="6" w:line="200" w:lineRule="exact"/>
              <w:rPr>
                <w:szCs w:val="22"/>
              </w:rPr>
            </w:pPr>
            <w:r w:rsidRPr="000B0FBC">
              <w:rPr>
                <w:szCs w:val="22"/>
              </w:rPr>
              <w:t xml:space="preserve">  Am Indian/AK Native               0.2%</w:t>
            </w:r>
          </w:p>
          <w:p w14:paraId="4E7AAF5D" w14:textId="77777777" w:rsidR="000B0FBC" w:rsidRPr="000B0FBC" w:rsidRDefault="000B0FBC" w:rsidP="00B13ECD">
            <w:pPr>
              <w:spacing w:after="6" w:line="200" w:lineRule="exact"/>
              <w:rPr>
                <w:szCs w:val="22"/>
              </w:rPr>
            </w:pPr>
            <w:r w:rsidRPr="000B0FBC">
              <w:rPr>
                <w:szCs w:val="22"/>
              </w:rPr>
              <w:t xml:space="preserve">  Asian                                           0.6%</w:t>
            </w:r>
          </w:p>
          <w:p w14:paraId="53A657D4" w14:textId="77777777" w:rsidR="000B0FBC" w:rsidRPr="000B0FBC" w:rsidRDefault="000B0FBC" w:rsidP="00B13ECD">
            <w:pPr>
              <w:spacing w:after="6" w:line="200" w:lineRule="exact"/>
              <w:rPr>
                <w:szCs w:val="22"/>
              </w:rPr>
            </w:pPr>
            <w:r w:rsidRPr="000B0FBC">
              <w:rPr>
                <w:szCs w:val="22"/>
              </w:rPr>
              <w:t xml:space="preserve">  Latino                                       72.8%</w:t>
            </w:r>
          </w:p>
          <w:p w14:paraId="2F844013" w14:textId="77777777" w:rsidR="000B0FBC" w:rsidRPr="000B0FBC" w:rsidRDefault="000B0FBC" w:rsidP="00B13ECD">
            <w:pPr>
              <w:spacing w:after="6" w:line="200" w:lineRule="exact"/>
              <w:rPr>
                <w:szCs w:val="22"/>
              </w:rPr>
            </w:pPr>
            <w:r w:rsidRPr="000B0FBC">
              <w:rPr>
                <w:szCs w:val="22"/>
              </w:rPr>
              <w:t xml:space="preserve">  Multi Ethnicity                          0.9%</w:t>
            </w:r>
          </w:p>
          <w:p w14:paraId="7F9AED7E" w14:textId="77777777" w:rsidR="000B0FBC" w:rsidRPr="000B0FBC" w:rsidRDefault="000B0FBC" w:rsidP="00B13ECD">
            <w:pPr>
              <w:spacing w:after="6" w:line="200" w:lineRule="exact"/>
              <w:rPr>
                <w:szCs w:val="22"/>
              </w:rPr>
            </w:pPr>
            <w:r w:rsidRPr="000B0FBC">
              <w:rPr>
                <w:szCs w:val="22"/>
              </w:rPr>
              <w:t xml:space="preserve">  White                                         8.3%</w:t>
            </w:r>
          </w:p>
          <w:p w14:paraId="7595FDBF" w14:textId="77777777" w:rsidR="000B0FBC" w:rsidRPr="000B0FBC" w:rsidRDefault="000B0FBC" w:rsidP="00B13ECD">
            <w:pPr>
              <w:spacing w:after="6" w:line="200" w:lineRule="exact"/>
              <w:rPr>
                <w:szCs w:val="22"/>
              </w:rPr>
            </w:pPr>
            <w:r w:rsidRPr="000B0FBC">
              <w:rPr>
                <w:szCs w:val="22"/>
              </w:rPr>
              <w:t xml:space="preserve">  Unknown                                 14.5%</w:t>
            </w:r>
          </w:p>
          <w:p w14:paraId="163475B6" w14:textId="77777777" w:rsidR="000B0FBC" w:rsidRPr="000B0FBC" w:rsidRDefault="000B0FBC" w:rsidP="00B13ECD">
            <w:pPr>
              <w:spacing w:after="6" w:line="200" w:lineRule="exact"/>
              <w:rPr>
                <w:szCs w:val="22"/>
              </w:rPr>
            </w:pPr>
          </w:p>
          <w:p w14:paraId="75947B30" w14:textId="77777777" w:rsidR="000B0FBC" w:rsidRPr="000B0FBC" w:rsidRDefault="000B0FBC" w:rsidP="00B13ECD">
            <w:pPr>
              <w:spacing w:after="6" w:line="200" w:lineRule="exact"/>
              <w:rPr>
                <w:b/>
                <w:bCs/>
                <w:szCs w:val="22"/>
              </w:rPr>
            </w:pPr>
            <w:r w:rsidRPr="000B0FBC">
              <w:rPr>
                <w:b/>
                <w:bCs/>
                <w:szCs w:val="22"/>
              </w:rPr>
              <w:t>Age Group</w:t>
            </w:r>
          </w:p>
          <w:p w14:paraId="5C46E9DB" w14:textId="77777777" w:rsidR="000B0FBC" w:rsidRPr="000B0FBC" w:rsidRDefault="000B0FBC" w:rsidP="00B13ECD">
            <w:pPr>
              <w:spacing w:after="6" w:line="200" w:lineRule="exact"/>
              <w:rPr>
                <w:szCs w:val="22"/>
              </w:rPr>
            </w:pPr>
            <w:r w:rsidRPr="000B0FBC">
              <w:rPr>
                <w:szCs w:val="22"/>
              </w:rPr>
              <w:t xml:space="preserve">  Less than 18                            13.0%</w:t>
            </w:r>
          </w:p>
          <w:p w14:paraId="2786557F" w14:textId="77777777" w:rsidR="000B0FBC" w:rsidRPr="000B0FBC" w:rsidRDefault="000B0FBC" w:rsidP="00B13ECD">
            <w:pPr>
              <w:spacing w:after="6" w:line="200" w:lineRule="exact"/>
              <w:rPr>
                <w:szCs w:val="22"/>
              </w:rPr>
            </w:pPr>
            <w:r w:rsidRPr="000B0FBC">
              <w:rPr>
                <w:szCs w:val="22"/>
              </w:rPr>
              <w:t xml:space="preserve">  18-24                                        18.7%</w:t>
            </w:r>
          </w:p>
          <w:p w14:paraId="678AA1EE" w14:textId="77777777" w:rsidR="000B0FBC" w:rsidRPr="000B0FBC" w:rsidRDefault="000B0FBC" w:rsidP="00B13ECD">
            <w:pPr>
              <w:spacing w:after="6" w:line="200" w:lineRule="exact"/>
              <w:rPr>
                <w:szCs w:val="22"/>
              </w:rPr>
            </w:pPr>
            <w:r w:rsidRPr="000B0FBC">
              <w:rPr>
                <w:szCs w:val="22"/>
              </w:rPr>
              <w:t xml:space="preserve">  25-34                                        27.7%</w:t>
            </w:r>
          </w:p>
          <w:p w14:paraId="4C731B86" w14:textId="77777777" w:rsidR="000B0FBC" w:rsidRPr="000B0FBC" w:rsidRDefault="000B0FBC" w:rsidP="00B13ECD">
            <w:pPr>
              <w:spacing w:after="6" w:line="200" w:lineRule="exact"/>
              <w:rPr>
                <w:szCs w:val="22"/>
              </w:rPr>
            </w:pPr>
            <w:r w:rsidRPr="000B0FBC">
              <w:rPr>
                <w:szCs w:val="22"/>
              </w:rPr>
              <w:t xml:space="preserve">  35-49                                        27.8%</w:t>
            </w:r>
          </w:p>
          <w:p w14:paraId="76F3CB61" w14:textId="77777777" w:rsidR="000B0FBC" w:rsidRPr="000B0FBC" w:rsidRDefault="000B0FBC" w:rsidP="00B13ECD">
            <w:pPr>
              <w:spacing w:after="6" w:line="200" w:lineRule="exact"/>
              <w:rPr>
                <w:szCs w:val="22"/>
              </w:rPr>
            </w:pPr>
            <w:r w:rsidRPr="000B0FBC">
              <w:rPr>
                <w:szCs w:val="22"/>
              </w:rPr>
              <w:t xml:space="preserve">  50+                                            12.9%</w:t>
            </w:r>
          </w:p>
        </w:tc>
        <w:tc>
          <w:tcPr>
            <w:tcW w:w="3600" w:type="dxa"/>
            <w:shd w:val="clear" w:color="auto" w:fill="FBE4D5" w:themeFill="accent2" w:themeFillTint="33"/>
          </w:tcPr>
          <w:p w14:paraId="3E5582BE" w14:textId="77777777" w:rsidR="00F07E54" w:rsidRDefault="00F07E54" w:rsidP="00F07E54">
            <w:pPr>
              <w:spacing w:after="6" w:line="200" w:lineRule="exact"/>
              <w:jc w:val="center"/>
              <w:rPr>
                <w:b/>
                <w:bCs/>
                <w:i/>
                <w:iCs/>
                <w:color w:val="C45911" w:themeColor="accent2" w:themeShade="BF"/>
              </w:rPr>
            </w:pPr>
          </w:p>
          <w:p w14:paraId="34020359" w14:textId="5C460364" w:rsidR="00F07E54" w:rsidRDefault="000B0FBC" w:rsidP="003066FE">
            <w:pPr>
              <w:spacing w:after="6" w:line="200" w:lineRule="exact"/>
              <w:jc w:val="center"/>
              <w:rPr>
                <w:b/>
                <w:bCs/>
                <w:i/>
                <w:iCs/>
                <w:color w:val="C45911" w:themeColor="accent2" w:themeShade="BF"/>
                <w:sz w:val="24"/>
              </w:rPr>
            </w:pPr>
            <w:r w:rsidRPr="000B0FBC">
              <w:rPr>
                <w:b/>
                <w:bCs/>
                <w:i/>
                <w:iCs/>
                <w:color w:val="C45911" w:themeColor="accent2" w:themeShade="BF"/>
                <w:sz w:val="24"/>
              </w:rPr>
              <w:t>Student Outcomes</w:t>
            </w:r>
          </w:p>
          <w:p w14:paraId="41AB12FA" w14:textId="77777777" w:rsidR="005A4DC0" w:rsidRDefault="005A4DC0" w:rsidP="003066FE">
            <w:pPr>
              <w:spacing w:after="6" w:line="200" w:lineRule="exact"/>
              <w:jc w:val="center"/>
              <w:rPr>
                <w:b/>
                <w:bCs/>
                <w:szCs w:val="22"/>
              </w:rPr>
            </w:pPr>
          </w:p>
          <w:p w14:paraId="7234AF6F" w14:textId="4E97E391" w:rsidR="000B0FBC" w:rsidRPr="000B0FBC" w:rsidRDefault="000B0FBC" w:rsidP="00B13ECD">
            <w:pPr>
              <w:spacing w:after="6" w:line="200" w:lineRule="exact"/>
              <w:rPr>
                <w:b/>
                <w:bCs/>
                <w:szCs w:val="22"/>
              </w:rPr>
            </w:pPr>
            <w:r w:rsidRPr="000B0FBC">
              <w:rPr>
                <w:b/>
                <w:bCs/>
                <w:szCs w:val="22"/>
              </w:rPr>
              <w:t xml:space="preserve">Awards </w:t>
            </w:r>
            <w:r w:rsidRPr="000B0FBC">
              <w:rPr>
                <w:szCs w:val="22"/>
              </w:rPr>
              <w:t>2023-2024</w:t>
            </w:r>
          </w:p>
          <w:p w14:paraId="6A3B3753" w14:textId="77777777" w:rsidR="000B0FBC" w:rsidRPr="000B0FBC" w:rsidRDefault="000B0FBC" w:rsidP="00B13ECD">
            <w:pPr>
              <w:spacing w:after="6" w:line="200" w:lineRule="exact"/>
              <w:rPr>
                <w:szCs w:val="22"/>
              </w:rPr>
            </w:pPr>
            <w:r w:rsidRPr="000B0FBC">
              <w:rPr>
                <w:szCs w:val="22"/>
              </w:rPr>
              <w:t xml:space="preserve">  Associate Degree for Transfer   121                                </w:t>
            </w:r>
          </w:p>
          <w:p w14:paraId="7CC64AAF" w14:textId="1916CDD5" w:rsidR="000B0FBC" w:rsidRPr="000B0FBC" w:rsidRDefault="000B0FBC" w:rsidP="00B13ECD">
            <w:pPr>
              <w:spacing w:after="6" w:line="200" w:lineRule="exact"/>
              <w:rPr>
                <w:szCs w:val="22"/>
              </w:rPr>
            </w:pPr>
            <w:r w:rsidRPr="000B0FBC">
              <w:rPr>
                <w:szCs w:val="22"/>
              </w:rPr>
              <w:t xml:space="preserve">  AA/AS (local)   </w:t>
            </w:r>
            <w:r w:rsidR="00D44C76">
              <w:rPr>
                <w:szCs w:val="22"/>
              </w:rPr>
              <w:t xml:space="preserve"> </w:t>
            </w:r>
            <w:r w:rsidRPr="000B0FBC">
              <w:rPr>
                <w:szCs w:val="22"/>
              </w:rPr>
              <w:t xml:space="preserve">                            </w:t>
            </w:r>
            <w:r w:rsidR="00D44C76">
              <w:rPr>
                <w:szCs w:val="22"/>
              </w:rPr>
              <w:t xml:space="preserve"> </w:t>
            </w:r>
            <w:r w:rsidRPr="000B0FBC">
              <w:rPr>
                <w:szCs w:val="22"/>
              </w:rPr>
              <w:t>351</w:t>
            </w:r>
          </w:p>
          <w:p w14:paraId="5E2C0C1D" w14:textId="1AE32F9C" w:rsidR="000B0FBC" w:rsidRPr="000B0FBC" w:rsidRDefault="000B0FBC" w:rsidP="00B13ECD">
            <w:pPr>
              <w:spacing w:after="6" w:line="200" w:lineRule="exact"/>
              <w:rPr>
                <w:szCs w:val="22"/>
              </w:rPr>
            </w:pPr>
            <w:r w:rsidRPr="000B0FBC">
              <w:rPr>
                <w:szCs w:val="22"/>
              </w:rPr>
              <w:t xml:space="preserve">  Certificates                                   </w:t>
            </w:r>
            <w:r w:rsidR="00D44C76">
              <w:rPr>
                <w:szCs w:val="22"/>
              </w:rPr>
              <w:t xml:space="preserve"> </w:t>
            </w:r>
            <w:r w:rsidRPr="000B0FBC">
              <w:rPr>
                <w:szCs w:val="22"/>
              </w:rPr>
              <w:t>252</w:t>
            </w:r>
          </w:p>
          <w:p w14:paraId="5AD9AE24" w14:textId="77777777" w:rsidR="000B0FBC" w:rsidRPr="000B0FBC" w:rsidRDefault="000B0FBC" w:rsidP="00B13ECD">
            <w:pPr>
              <w:spacing w:after="6" w:line="200" w:lineRule="exact"/>
              <w:rPr>
                <w:szCs w:val="22"/>
              </w:rPr>
            </w:pPr>
          </w:p>
          <w:p w14:paraId="6BFA93B6" w14:textId="77777777" w:rsidR="000B0FBC" w:rsidRPr="000B0FBC" w:rsidRDefault="000B0FBC" w:rsidP="00B13ECD">
            <w:pPr>
              <w:spacing w:after="6" w:line="200" w:lineRule="exact"/>
              <w:rPr>
                <w:szCs w:val="22"/>
              </w:rPr>
            </w:pPr>
            <w:r w:rsidRPr="000B0FBC">
              <w:rPr>
                <w:b/>
                <w:bCs/>
                <w:szCs w:val="22"/>
              </w:rPr>
              <w:t>Transfer</w:t>
            </w:r>
            <w:r w:rsidRPr="000B0FBC">
              <w:rPr>
                <w:szCs w:val="22"/>
              </w:rPr>
              <w:t xml:space="preserve"> 2022-2023  </w:t>
            </w:r>
          </w:p>
          <w:p w14:paraId="070197E5" w14:textId="77777777" w:rsidR="000B0FBC" w:rsidRPr="000B0FBC" w:rsidRDefault="000B0FBC" w:rsidP="00B13ECD">
            <w:pPr>
              <w:spacing w:after="6" w:line="200" w:lineRule="exact"/>
              <w:rPr>
                <w:szCs w:val="22"/>
              </w:rPr>
            </w:pPr>
            <w:r w:rsidRPr="000B0FBC">
              <w:rPr>
                <w:szCs w:val="22"/>
              </w:rPr>
              <w:t xml:space="preserve">  Total                                               118</w:t>
            </w:r>
          </w:p>
          <w:p w14:paraId="632CD985" w14:textId="77777777" w:rsidR="000B0FBC" w:rsidRPr="000B0FBC" w:rsidRDefault="000B0FBC" w:rsidP="00B13ECD">
            <w:pPr>
              <w:spacing w:after="6" w:line="200" w:lineRule="exact"/>
              <w:rPr>
                <w:szCs w:val="22"/>
              </w:rPr>
            </w:pPr>
            <w:r w:rsidRPr="000B0FBC">
              <w:rPr>
                <w:szCs w:val="22"/>
              </w:rPr>
              <w:t xml:space="preserve">  Public                                             103</w:t>
            </w:r>
          </w:p>
          <w:p w14:paraId="4AA1BF66" w14:textId="77777777" w:rsidR="000B0FBC" w:rsidRPr="000B0FBC" w:rsidRDefault="000B0FBC" w:rsidP="00B13ECD">
            <w:pPr>
              <w:spacing w:after="6" w:line="200" w:lineRule="exact"/>
              <w:rPr>
                <w:szCs w:val="22"/>
              </w:rPr>
            </w:pPr>
            <w:r w:rsidRPr="000B0FBC">
              <w:rPr>
                <w:szCs w:val="22"/>
              </w:rPr>
              <w:t xml:space="preserve">  Private                                             15</w:t>
            </w:r>
          </w:p>
          <w:p w14:paraId="3A387E1A" w14:textId="77777777" w:rsidR="000B0FBC" w:rsidRPr="000B0FBC" w:rsidRDefault="000B0FBC" w:rsidP="00B13ECD">
            <w:pPr>
              <w:spacing w:after="6" w:line="200" w:lineRule="exact"/>
              <w:rPr>
                <w:szCs w:val="22"/>
              </w:rPr>
            </w:pPr>
          </w:p>
          <w:p w14:paraId="244A8151" w14:textId="77777777" w:rsidR="000B0FBC" w:rsidRPr="00F07E54" w:rsidRDefault="000B0FBC" w:rsidP="00B13ECD">
            <w:pPr>
              <w:spacing w:after="6" w:line="200" w:lineRule="exact"/>
              <w:rPr>
                <w:b/>
                <w:bCs/>
                <w:i/>
                <w:iCs/>
                <w:sz w:val="20"/>
                <w:szCs w:val="20"/>
              </w:rPr>
            </w:pPr>
            <w:r w:rsidRPr="000B0FBC">
              <w:rPr>
                <w:b/>
                <w:bCs/>
                <w:szCs w:val="22"/>
              </w:rPr>
              <w:t xml:space="preserve">Degree/Transfer Students </w:t>
            </w:r>
            <w:r w:rsidRPr="00F07E54">
              <w:rPr>
                <w:i/>
                <w:iCs/>
                <w:sz w:val="20"/>
                <w:szCs w:val="20"/>
              </w:rPr>
              <w:t>(primarily Taft campus)</w:t>
            </w:r>
          </w:p>
          <w:p w14:paraId="594FBA0B" w14:textId="77777777" w:rsidR="000B0FBC" w:rsidRPr="000B0FBC" w:rsidRDefault="000B0FBC" w:rsidP="005761F9">
            <w:pPr>
              <w:pStyle w:val="ListParagraph"/>
              <w:numPr>
                <w:ilvl w:val="0"/>
                <w:numId w:val="10"/>
              </w:numPr>
              <w:spacing w:after="6" w:line="200" w:lineRule="exact"/>
              <w:rPr>
                <w:szCs w:val="22"/>
              </w:rPr>
            </w:pPr>
            <w:r w:rsidRPr="000B0FBC">
              <w:rPr>
                <w:szCs w:val="22"/>
              </w:rPr>
              <w:t>Degree completion rates are higher than the region or state</w:t>
            </w:r>
          </w:p>
          <w:p w14:paraId="62A12BFC" w14:textId="77777777" w:rsidR="000B0FBC" w:rsidRPr="000B0FBC" w:rsidRDefault="000B0FBC" w:rsidP="005761F9">
            <w:pPr>
              <w:pStyle w:val="ListParagraph"/>
              <w:numPr>
                <w:ilvl w:val="0"/>
                <w:numId w:val="10"/>
              </w:numPr>
              <w:spacing w:after="6" w:line="200" w:lineRule="exact"/>
              <w:rPr>
                <w:szCs w:val="22"/>
              </w:rPr>
            </w:pPr>
            <w:r w:rsidRPr="000B0FBC">
              <w:rPr>
                <w:szCs w:val="22"/>
              </w:rPr>
              <w:t>Transfer Rates are higher for students earning an Associate Degree for Transfer (ADT) than for those earning a local AA/AS</w:t>
            </w:r>
          </w:p>
          <w:p w14:paraId="5C214347" w14:textId="77777777" w:rsidR="000B0FBC" w:rsidRPr="000B0FBC" w:rsidRDefault="000B0FBC" w:rsidP="005761F9">
            <w:pPr>
              <w:pStyle w:val="ListParagraph"/>
              <w:numPr>
                <w:ilvl w:val="0"/>
                <w:numId w:val="10"/>
              </w:numPr>
              <w:spacing w:after="6" w:line="200" w:lineRule="exact"/>
              <w:rPr>
                <w:szCs w:val="22"/>
              </w:rPr>
            </w:pPr>
            <w:r w:rsidRPr="000B0FBC">
              <w:rPr>
                <w:szCs w:val="22"/>
              </w:rPr>
              <w:t>Acceptance rates at UC and CSU are lower than average</w:t>
            </w:r>
          </w:p>
          <w:p w14:paraId="031EE7BE" w14:textId="77777777" w:rsidR="000B0FBC" w:rsidRPr="000B0FBC" w:rsidRDefault="000B0FBC" w:rsidP="005761F9">
            <w:pPr>
              <w:pStyle w:val="ListParagraph"/>
              <w:numPr>
                <w:ilvl w:val="0"/>
                <w:numId w:val="10"/>
              </w:numPr>
              <w:spacing w:after="6" w:line="200" w:lineRule="exact"/>
              <w:rPr>
                <w:szCs w:val="22"/>
              </w:rPr>
            </w:pPr>
            <w:r w:rsidRPr="000B0FBC">
              <w:rPr>
                <w:szCs w:val="22"/>
              </w:rPr>
              <w:t>Lower rates of completion of math and English in Year 1</w:t>
            </w:r>
          </w:p>
          <w:p w14:paraId="53AD1B8B" w14:textId="6B90263F" w:rsidR="000B0FBC" w:rsidRPr="000B0FBC" w:rsidRDefault="000B0FBC" w:rsidP="005761F9">
            <w:pPr>
              <w:pStyle w:val="ListParagraph"/>
              <w:numPr>
                <w:ilvl w:val="0"/>
                <w:numId w:val="10"/>
              </w:numPr>
              <w:spacing w:after="6" w:line="200" w:lineRule="exact"/>
              <w:rPr>
                <w:szCs w:val="22"/>
              </w:rPr>
            </w:pPr>
            <w:r w:rsidRPr="000B0FBC">
              <w:rPr>
                <w:szCs w:val="22"/>
              </w:rPr>
              <w:t>Lower fall</w:t>
            </w:r>
            <w:r w:rsidR="00F07E54">
              <w:rPr>
                <w:szCs w:val="22"/>
              </w:rPr>
              <w:t>-</w:t>
            </w:r>
            <w:r w:rsidRPr="000B0FBC">
              <w:rPr>
                <w:szCs w:val="22"/>
              </w:rPr>
              <w:t>to</w:t>
            </w:r>
            <w:r w:rsidR="00F07E54">
              <w:rPr>
                <w:szCs w:val="22"/>
              </w:rPr>
              <w:t>-</w:t>
            </w:r>
            <w:r w:rsidRPr="000B0FBC">
              <w:rPr>
                <w:szCs w:val="22"/>
              </w:rPr>
              <w:t>spring persistence rates</w:t>
            </w:r>
          </w:p>
          <w:p w14:paraId="33069431" w14:textId="77777777" w:rsidR="000B0FBC" w:rsidRPr="000B0FBC" w:rsidRDefault="000B0FBC" w:rsidP="00B13ECD">
            <w:pPr>
              <w:spacing w:after="6" w:line="200" w:lineRule="exact"/>
              <w:rPr>
                <w:szCs w:val="22"/>
              </w:rPr>
            </w:pPr>
          </w:p>
          <w:p w14:paraId="1E6FED7A" w14:textId="78B075AB" w:rsidR="000B0FBC" w:rsidRPr="000B0FBC" w:rsidRDefault="000B0FBC" w:rsidP="00B13ECD">
            <w:pPr>
              <w:spacing w:after="6" w:line="200" w:lineRule="exact"/>
              <w:rPr>
                <w:b/>
                <w:bCs/>
                <w:szCs w:val="22"/>
              </w:rPr>
            </w:pPr>
            <w:r w:rsidRPr="000B0FBC">
              <w:rPr>
                <w:b/>
                <w:bCs/>
                <w:szCs w:val="22"/>
              </w:rPr>
              <w:t xml:space="preserve">Career Education </w:t>
            </w:r>
            <w:r w:rsidRPr="00F07E54">
              <w:rPr>
                <w:i/>
                <w:iCs/>
                <w:sz w:val="20"/>
                <w:szCs w:val="20"/>
              </w:rPr>
              <w:t xml:space="preserve">(primarily </w:t>
            </w:r>
            <w:r w:rsidR="00CE7648" w:rsidRPr="00F07E54">
              <w:rPr>
                <w:i/>
                <w:iCs/>
                <w:sz w:val="20"/>
                <w:szCs w:val="20"/>
              </w:rPr>
              <w:t>WESTEC</w:t>
            </w:r>
            <w:r w:rsidRPr="00F07E54">
              <w:rPr>
                <w:i/>
                <w:iCs/>
                <w:sz w:val="20"/>
                <w:szCs w:val="20"/>
              </w:rPr>
              <w:t>)</w:t>
            </w:r>
          </w:p>
          <w:p w14:paraId="46F61459" w14:textId="77777777" w:rsidR="000B0FBC" w:rsidRPr="000B0FBC" w:rsidRDefault="000B0FBC" w:rsidP="005761F9">
            <w:pPr>
              <w:pStyle w:val="ListParagraph"/>
              <w:numPr>
                <w:ilvl w:val="0"/>
                <w:numId w:val="11"/>
              </w:numPr>
              <w:spacing w:after="6" w:line="200" w:lineRule="exact"/>
              <w:rPr>
                <w:szCs w:val="22"/>
              </w:rPr>
            </w:pPr>
            <w:r w:rsidRPr="000B0FBC">
              <w:rPr>
                <w:szCs w:val="22"/>
              </w:rPr>
              <w:t>Higher course success rates</w:t>
            </w:r>
          </w:p>
          <w:p w14:paraId="6977688E" w14:textId="77777777" w:rsidR="000B0FBC" w:rsidRPr="000B0FBC" w:rsidRDefault="000B0FBC" w:rsidP="005761F9">
            <w:pPr>
              <w:pStyle w:val="ListParagraph"/>
              <w:numPr>
                <w:ilvl w:val="0"/>
                <w:numId w:val="11"/>
              </w:numPr>
              <w:spacing w:after="6" w:line="200" w:lineRule="exact"/>
              <w:rPr>
                <w:szCs w:val="22"/>
              </w:rPr>
            </w:pPr>
            <w:r w:rsidRPr="000B0FBC">
              <w:rPr>
                <w:szCs w:val="22"/>
              </w:rPr>
              <w:t>Higher average wage gains after courses/training</w:t>
            </w:r>
          </w:p>
          <w:p w14:paraId="24F301B4" w14:textId="77777777" w:rsidR="000B0FBC" w:rsidRPr="000B0FBC" w:rsidRDefault="000B0FBC" w:rsidP="005761F9">
            <w:pPr>
              <w:pStyle w:val="ListParagraph"/>
              <w:numPr>
                <w:ilvl w:val="0"/>
                <w:numId w:val="11"/>
              </w:numPr>
              <w:spacing w:after="6" w:line="200" w:lineRule="exact"/>
              <w:rPr>
                <w:szCs w:val="22"/>
              </w:rPr>
            </w:pPr>
            <w:r w:rsidRPr="000B0FBC">
              <w:rPr>
                <w:szCs w:val="22"/>
              </w:rPr>
              <w:t>Higher rates of attaining the regional Living Wage</w:t>
            </w:r>
          </w:p>
          <w:p w14:paraId="02B5746E" w14:textId="09F0B2CE" w:rsidR="000B0FBC" w:rsidRPr="000B0FBC" w:rsidRDefault="000B0FBC" w:rsidP="005A4DC0">
            <w:pPr>
              <w:spacing w:after="6" w:line="200" w:lineRule="exact"/>
              <w:rPr>
                <w:szCs w:val="22"/>
              </w:rPr>
            </w:pPr>
          </w:p>
          <w:p w14:paraId="06404F3F" w14:textId="77777777" w:rsidR="000B0FBC" w:rsidRPr="000B0FBC" w:rsidRDefault="000B0FBC" w:rsidP="00B13ECD">
            <w:pPr>
              <w:spacing w:after="6" w:line="200" w:lineRule="exact"/>
              <w:rPr>
                <w:szCs w:val="22"/>
              </w:rPr>
            </w:pPr>
          </w:p>
          <w:p w14:paraId="6C2CC89A" w14:textId="77777777" w:rsidR="000B0FBC" w:rsidRPr="000B0FBC" w:rsidRDefault="000B0FBC" w:rsidP="00B13ECD">
            <w:pPr>
              <w:spacing w:after="6" w:line="200" w:lineRule="exact"/>
              <w:rPr>
                <w:szCs w:val="22"/>
              </w:rPr>
            </w:pPr>
            <w:r w:rsidRPr="000B0FBC">
              <w:rPr>
                <w:b/>
                <w:bCs/>
                <w:szCs w:val="22"/>
              </w:rPr>
              <w:t>Top Degrees</w:t>
            </w:r>
            <w:r w:rsidRPr="000B0FBC">
              <w:rPr>
                <w:szCs w:val="22"/>
              </w:rPr>
              <w:t xml:space="preserve"> 2023-2024</w:t>
            </w:r>
          </w:p>
          <w:p w14:paraId="0D18ACEE" w14:textId="77777777" w:rsidR="000B0FBC" w:rsidRPr="000B0FBC" w:rsidRDefault="000B0FBC" w:rsidP="00B13ECD">
            <w:pPr>
              <w:spacing w:after="6" w:line="200" w:lineRule="exact"/>
              <w:rPr>
                <w:szCs w:val="22"/>
              </w:rPr>
            </w:pPr>
            <w:r w:rsidRPr="000B0FBC">
              <w:rPr>
                <w:szCs w:val="22"/>
              </w:rPr>
              <w:t xml:space="preserve">    AA Liberal Arts, Math &amp; Science</w:t>
            </w:r>
          </w:p>
          <w:p w14:paraId="06AEEDDF" w14:textId="77777777" w:rsidR="000B0FBC" w:rsidRPr="000B0FBC" w:rsidRDefault="000B0FBC" w:rsidP="00B13ECD">
            <w:pPr>
              <w:spacing w:after="6" w:line="200" w:lineRule="exact"/>
              <w:rPr>
                <w:szCs w:val="22"/>
              </w:rPr>
            </w:pPr>
            <w:r w:rsidRPr="000B0FBC">
              <w:rPr>
                <w:szCs w:val="22"/>
              </w:rPr>
              <w:t xml:space="preserve">    AA Liberal Arts, Allied Health</w:t>
            </w:r>
          </w:p>
          <w:p w14:paraId="7FE83B75" w14:textId="77777777" w:rsidR="000B0FBC" w:rsidRPr="000B0FBC" w:rsidRDefault="000B0FBC" w:rsidP="00B13ECD">
            <w:pPr>
              <w:spacing w:after="6" w:line="200" w:lineRule="exact"/>
              <w:rPr>
                <w:szCs w:val="22"/>
              </w:rPr>
            </w:pPr>
            <w:r w:rsidRPr="000B0FBC">
              <w:rPr>
                <w:szCs w:val="22"/>
              </w:rPr>
              <w:t xml:space="preserve">    AS Life Science</w:t>
            </w:r>
          </w:p>
          <w:p w14:paraId="0B3DE13B" w14:textId="77777777" w:rsidR="000B0FBC" w:rsidRPr="000B0FBC" w:rsidRDefault="000B0FBC" w:rsidP="00B13ECD">
            <w:pPr>
              <w:spacing w:after="6" w:line="200" w:lineRule="exact"/>
              <w:rPr>
                <w:szCs w:val="22"/>
              </w:rPr>
            </w:pPr>
            <w:r w:rsidRPr="000B0FBC">
              <w:rPr>
                <w:szCs w:val="22"/>
              </w:rPr>
              <w:t xml:space="preserve">    AA Liberal Arts, Communication</w:t>
            </w:r>
          </w:p>
          <w:p w14:paraId="5FF6534C" w14:textId="77777777" w:rsidR="000B0FBC" w:rsidRPr="000B0FBC" w:rsidRDefault="000B0FBC" w:rsidP="00B13ECD">
            <w:pPr>
              <w:spacing w:after="6" w:line="200" w:lineRule="exact"/>
              <w:rPr>
                <w:szCs w:val="22"/>
              </w:rPr>
            </w:pPr>
            <w:r w:rsidRPr="000B0FBC">
              <w:rPr>
                <w:szCs w:val="22"/>
              </w:rPr>
              <w:t xml:space="preserve">    Psychology for Transfer (ADT)</w:t>
            </w:r>
          </w:p>
          <w:p w14:paraId="07E673AA" w14:textId="77777777" w:rsidR="000B0FBC" w:rsidRPr="000B0FBC" w:rsidRDefault="000B0FBC" w:rsidP="00B13ECD">
            <w:pPr>
              <w:spacing w:after="6" w:line="200" w:lineRule="exact"/>
              <w:rPr>
                <w:szCs w:val="22"/>
              </w:rPr>
            </w:pPr>
          </w:p>
          <w:p w14:paraId="2EEFE733" w14:textId="77777777" w:rsidR="000B0FBC" w:rsidRPr="000B0FBC" w:rsidRDefault="000B0FBC" w:rsidP="00B13ECD">
            <w:pPr>
              <w:spacing w:after="6" w:line="200" w:lineRule="exact"/>
              <w:rPr>
                <w:szCs w:val="22"/>
              </w:rPr>
            </w:pPr>
            <w:r w:rsidRPr="000B0FBC">
              <w:rPr>
                <w:b/>
                <w:bCs/>
                <w:szCs w:val="22"/>
              </w:rPr>
              <w:t>Top Certificates</w:t>
            </w:r>
            <w:r w:rsidRPr="000B0FBC">
              <w:rPr>
                <w:szCs w:val="22"/>
              </w:rPr>
              <w:t xml:space="preserve"> 2023-2024</w:t>
            </w:r>
          </w:p>
          <w:p w14:paraId="448549F9" w14:textId="77777777" w:rsidR="000B0FBC" w:rsidRPr="000B0FBC" w:rsidRDefault="000B0FBC" w:rsidP="00B13ECD">
            <w:pPr>
              <w:spacing w:after="6" w:line="200" w:lineRule="exact"/>
              <w:rPr>
                <w:szCs w:val="22"/>
              </w:rPr>
            </w:pPr>
            <w:r w:rsidRPr="000B0FBC">
              <w:rPr>
                <w:szCs w:val="22"/>
              </w:rPr>
              <w:t xml:space="preserve">    CSU GE Certificate</w:t>
            </w:r>
          </w:p>
          <w:p w14:paraId="4873A302" w14:textId="77777777" w:rsidR="000B0FBC" w:rsidRPr="000B0FBC" w:rsidRDefault="000B0FBC" w:rsidP="00B13ECD">
            <w:pPr>
              <w:spacing w:after="6" w:line="200" w:lineRule="exact"/>
              <w:rPr>
                <w:szCs w:val="22"/>
              </w:rPr>
            </w:pPr>
            <w:r w:rsidRPr="000B0FBC">
              <w:rPr>
                <w:szCs w:val="22"/>
              </w:rPr>
              <w:t xml:space="preserve">    Associate Teacher ECE </w:t>
            </w:r>
          </w:p>
          <w:p w14:paraId="17415D7E" w14:textId="77777777" w:rsidR="000B0FBC" w:rsidRPr="000B0FBC" w:rsidRDefault="000B0FBC" w:rsidP="00B13ECD">
            <w:pPr>
              <w:spacing w:after="6" w:line="200" w:lineRule="exact"/>
              <w:rPr>
                <w:szCs w:val="22"/>
              </w:rPr>
            </w:pPr>
            <w:r w:rsidRPr="000B0FBC">
              <w:rPr>
                <w:szCs w:val="22"/>
              </w:rPr>
              <w:t xml:space="preserve">    Teacher in ECEF</w:t>
            </w:r>
          </w:p>
          <w:p w14:paraId="41AC757A" w14:textId="77777777" w:rsidR="000B0FBC" w:rsidRPr="000B0FBC" w:rsidRDefault="000B0FBC" w:rsidP="00B13ECD">
            <w:pPr>
              <w:spacing w:after="6" w:line="200" w:lineRule="exact"/>
              <w:rPr>
                <w:szCs w:val="22"/>
              </w:rPr>
            </w:pPr>
            <w:r w:rsidRPr="000B0FBC">
              <w:rPr>
                <w:szCs w:val="22"/>
              </w:rPr>
              <w:t xml:space="preserve">    Structural Code Welding</w:t>
            </w:r>
          </w:p>
          <w:p w14:paraId="1023A6D6" w14:textId="77777777" w:rsidR="000B0FBC" w:rsidRPr="000B0FBC" w:rsidRDefault="000B0FBC" w:rsidP="00B13ECD">
            <w:pPr>
              <w:spacing w:after="6" w:line="200" w:lineRule="exact"/>
              <w:rPr>
                <w:szCs w:val="22"/>
              </w:rPr>
            </w:pPr>
            <w:r w:rsidRPr="000B0FBC">
              <w:rPr>
                <w:szCs w:val="22"/>
              </w:rPr>
              <w:t xml:space="preserve">    IGETC Certificate</w:t>
            </w:r>
          </w:p>
          <w:p w14:paraId="42C4073B" w14:textId="77777777" w:rsidR="000B0FBC" w:rsidRPr="000B0FBC" w:rsidRDefault="000B0FBC" w:rsidP="00B13ECD">
            <w:pPr>
              <w:spacing w:after="6" w:line="200" w:lineRule="exact"/>
              <w:rPr>
                <w:szCs w:val="22"/>
              </w:rPr>
            </w:pPr>
          </w:p>
          <w:p w14:paraId="755631B4" w14:textId="77777777" w:rsidR="000B0FBC" w:rsidRPr="000B0FBC" w:rsidRDefault="000B0FBC" w:rsidP="00B13ECD">
            <w:pPr>
              <w:spacing w:after="6" w:line="200" w:lineRule="exact"/>
              <w:rPr>
                <w:b/>
                <w:bCs/>
                <w:szCs w:val="22"/>
              </w:rPr>
            </w:pPr>
            <w:r w:rsidRPr="000B0FBC">
              <w:rPr>
                <w:b/>
                <w:bCs/>
                <w:szCs w:val="22"/>
              </w:rPr>
              <w:t>Top Transfer Destinations</w:t>
            </w:r>
            <w:r w:rsidRPr="000B0FBC">
              <w:rPr>
                <w:szCs w:val="22"/>
              </w:rPr>
              <w:t xml:space="preserve"> (5-yr)</w:t>
            </w:r>
          </w:p>
          <w:p w14:paraId="06BDCD57" w14:textId="77777777" w:rsidR="000B0FBC" w:rsidRPr="000B0FBC" w:rsidRDefault="000B0FBC" w:rsidP="00B13ECD">
            <w:pPr>
              <w:spacing w:after="6" w:line="200" w:lineRule="exact"/>
              <w:rPr>
                <w:szCs w:val="22"/>
              </w:rPr>
            </w:pPr>
            <w:r w:rsidRPr="000B0FBC">
              <w:rPr>
                <w:szCs w:val="22"/>
              </w:rPr>
              <w:t xml:space="preserve">    CSU Bakersfield</w:t>
            </w:r>
          </w:p>
          <w:p w14:paraId="3A7B3B54" w14:textId="77777777" w:rsidR="000B0FBC" w:rsidRPr="000B0FBC" w:rsidRDefault="000B0FBC" w:rsidP="00B13ECD">
            <w:pPr>
              <w:spacing w:after="6" w:line="200" w:lineRule="exact"/>
              <w:rPr>
                <w:szCs w:val="22"/>
              </w:rPr>
            </w:pPr>
            <w:r w:rsidRPr="000B0FBC">
              <w:rPr>
                <w:szCs w:val="22"/>
              </w:rPr>
              <w:t xml:space="preserve">    CSU Fresno</w:t>
            </w:r>
          </w:p>
          <w:p w14:paraId="249FCC40" w14:textId="77777777" w:rsidR="000B0FBC" w:rsidRPr="000B0FBC" w:rsidRDefault="000B0FBC" w:rsidP="00B13ECD">
            <w:pPr>
              <w:spacing w:after="6" w:line="200" w:lineRule="exact"/>
              <w:rPr>
                <w:szCs w:val="22"/>
              </w:rPr>
            </w:pPr>
            <w:r w:rsidRPr="000B0FBC">
              <w:rPr>
                <w:szCs w:val="22"/>
              </w:rPr>
              <w:t xml:space="preserve">    Arizona State University</w:t>
            </w:r>
          </w:p>
          <w:p w14:paraId="216B78B6" w14:textId="77777777" w:rsidR="000B0FBC" w:rsidRPr="000B0FBC" w:rsidRDefault="000B0FBC" w:rsidP="00B13ECD">
            <w:pPr>
              <w:spacing w:after="6" w:line="200" w:lineRule="exact"/>
              <w:rPr>
                <w:szCs w:val="22"/>
              </w:rPr>
            </w:pPr>
            <w:r w:rsidRPr="000B0FBC">
              <w:rPr>
                <w:szCs w:val="22"/>
              </w:rPr>
              <w:t xml:space="preserve">    Fresno Pacific </w:t>
            </w:r>
          </w:p>
          <w:p w14:paraId="3302A034" w14:textId="77777777" w:rsidR="000B0FBC" w:rsidRPr="000B0FBC" w:rsidRDefault="000B0FBC" w:rsidP="00B13ECD">
            <w:pPr>
              <w:spacing w:after="6" w:line="200" w:lineRule="exact"/>
              <w:rPr>
                <w:szCs w:val="22"/>
              </w:rPr>
            </w:pPr>
            <w:r w:rsidRPr="000B0FBC">
              <w:rPr>
                <w:szCs w:val="22"/>
              </w:rPr>
              <w:t xml:space="preserve">    Western Governors</w:t>
            </w:r>
          </w:p>
        </w:tc>
      </w:tr>
    </w:tbl>
    <w:p w14:paraId="09F269FD" w14:textId="77777777" w:rsidR="00A43C65" w:rsidRDefault="000B0FBC" w:rsidP="000B0FBC">
      <w:pPr>
        <w:spacing w:after="0"/>
        <w:rPr>
          <w:i/>
          <w:iCs/>
          <w:sz w:val="20"/>
          <w:szCs w:val="20"/>
        </w:rPr>
      </w:pPr>
      <w:r w:rsidRPr="00A43C65">
        <w:rPr>
          <w:i/>
          <w:iCs/>
          <w:sz w:val="20"/>
          <w:szCs w:val="20"/>
        </w:rPr>
        <w:t xml:space="preserve">Note: More detailed data </w:t>
      </w:r>
      <w:r w:rsidR="00085065" w:rsidRPr="00A43C65">
        <w:rPr>
          <w:i/>
          <w:iCs/>
          <w:sz w:val="20"/>
          <w:szCs w:val="20"/>
        </w:rPr>
        <w:t>are</w:t>
      </w:r>
      <w:r w:rsidRPr="00A43C65">
        <w:rPr>
          <w:i/>
          <w:iCs/>
          <w:sz w:val="20"/>
          <w:szCs w:val="20"/>
        </w:rPr>
        <w:t xml:space="preserve"> included elsewhere in this report, including in the </w:t>
      </w:r>
      <w:r w:rsidR="00085065" w:rsidRPr="00A43C65">
        <w:rPr>
          <w:i/>
          <w:iCs/>
          <w:sz w:val="20"/>
          <w:szCs w:val="20"/>
        </w:rPr>
        <w:t>A</w:t>
      </w:r>
      <w:r w:rsidRPr="00A43C65">
        <w:rPr>
          <w:i/>
          <w:iCs/>
          <w:sz w:val="20"/>
          <w:szCs w:val="20"/>
        </w:rPr>
        <w:t>ppendix</w:t>
      </w:r>
      <w:r w:rsidR="00085065" w:rsidRPr="00A43C65">
        <w:rPr>
          <w:i/>
          <w:iCs/>
          <w:sz w:val="20"/>
          <w:szCs w:val="20"/>
        </w:rPr>
        <w:t>.</w:t>
      </w:r>
    </w:p>
    <w:p w14:paraId="7A61EB1B" w14:textId="22659C7E" w:rsidR="000B0FBC" w:rsidRPr="00A4641C" w:rsidRDefault="000B0FBC" w:rsidP="000B0FBC">
      <w:pPr>
        <w:spacing w:after="0"/>
        <w:rPr>
          <w:i/>
          <w:iCs/>
          <w:sz w:val="20"/>
          <w:szCs w:val="20"/>
        </w:rPr>
      </w:pPr>
      <w:r w:rsidRPr="00A4641C">
        <w:rPr>
          <w:i/>
          <w:iCs/>
          <w:sz w:val="20"/>
          <w:szCs w:val="20"/>
        </w:rPr>
        <w:t xml:space="preserve">Sources: US Census, California Department of Labor, California Department of Education, CCCCO </w:t>
      </w:r>
      <w:r w:rsidR="004F1170">
        <w:rPr>
          <w:i/>
          <w:iCs/>
          <w:sz w:val="20"/>
          <w:szCs w:val="20"/>
        </w:rPr>
        <w:t>DataVista</w:t>
      </w:r>
      <w:r w:rsidRPr="00A4641C">
        <w:rPr>
          <w:i/>
          <w:iCs/>
          <w:sz w:val="20"/>
          <w:szCs w:val="20"/>
        </w:rPr>
        <w:t>, California Community College Career &amp; Technical Education Outcomes Survey, Internal Taft Data provided by Institutional Research</w:t>
      </w:r>
    </w:p>
    <w:p w14:paraId="711C1F5C" w14:textId="39D641B1" w:rsidR="00C15415" w:rsidRDefault="00C15415" w:rsidP="00436BBD">
      <w:r>
        <w:t xml:space="preserve"> </w:t>
      </w:r>
    </w:p>
    <w:p w14:paraId="429E0295" w14:textId="15BB4880" w:rsidR="0009381C" w:rsidRPr="00B84B74" w:rsidRDefault="00A025D7" w:rsidP="0009381C">
      <w:pPr>
        <w:pStyle w:val="Heading1"/>
        <w:spacing w:line="276" w:lineRule="auto"/>
      </w:pPr>
      <w:bookmarkStart w:id="48" w:name="_Toc159074944"/>
      <w:bookmarkStart w:id="49" w:name="_Toc159851751"/>
      <w:bookmarkStart w:id="50" w:name="_Toc159927490"/>
      <w:bookmarkStart w:id="51" w:name="_Toc194931236"/>
      <w:bookmarkStart w:id="52" w:name="_Toc194931561"/>
      <w:r>
        <w:lastRenderedPageBreak/>
        <w:t>State</w:t>
      </w:r>
      <w:r w:rsidR="0009381C" w:rsidRPr="00B84B74">
        <w:t xml:space="preserve"> Context</w:t>
      </w:r>
      <w:bookmarkEnd w:id="48"/>
      <w:bookmarkEnd w:id="49"/>
      <w:bookmarkEnd w:id="50"/>
      <w:bookmarkEnd w:id="51"/>
      <w:bookmarkEnd w:id="52"/>
    </w:p>
    <w:p w14:paraId="7CB99172" w14:textId="77777777" w:rsidR="00CF4896" w:rsidRDefault="00F94E1F" w:rsidP="00737431">
      <w:pPr>
        <w:spacing w:after="160"/>
        <w:rPr>
          <w:szCs w:val="22"/>
        </w:rPr>
      </w:pPr>
      <w:r>
        <w:rPr>
          <w:szCs w:val="22"/>
        </w:rPr>
        <w:t xml:space="preserve">The West Kern Community College District (“Taft College”) operates as one of 73 community college districts in the State of California under the </w:t>
      </w:r>
      <w:hyperlink r:id="rId16" w:history="1">
        <w:r w:rsidRPr="00F94E1F">
          <w:rPr>
            <w:rStyle w:val="Hyperlink"/>
            <w:szCs w:val="22"/>
          </w:rPr>
          <w:t>California Community Colleges Chancellor’s Office</w:t>
        </w:r>
      </w:hyperlink>
      <w:r>
        <w:rPr>
          <w:szCs w:val="22"/>
        </w:rPr>
        <w:t xml:space="preserve">. </w:t>
      </w:r>
      <w:r w:rsidR="0009381C" w:rsidRPr="00B84B74">
        <w:rPr>
          <w:szCs w:val="22"/>
        </w:rPr>
        <w:t>The California Community Colleges have a long-standing history of working to meet the needs of their students and communities, while partnering with businesses and industries to deliver a prepared workforce.</w:t>
      </w:r>
      <w:r w:rsidR="00562C94">
        <w:rPr>
          <w:szCs w:val="22"/>
        </w:rPr>
        <w:t xml:space="preserve"> </w:t>
      </w:r>
    </w:p>
    <w:p w14:paraId="6D9C8306" w14:textId="2CD88C6E" w:rsidR="00A737CB" w:rsidRDefault="0009381C" w:rsidP="00A737CB">
      <w:pPr>
        <w:spacing w:after="160"/>
        <w:rPr>
          <w:szCs w:val="22"/>
        </w:rPr>
      </w:pPr>
      <w:r w:rsidRPr="00B84B74">
        <w:rPr>
          <w:szCs w:val="22"/>
        </w:rPr>
        <w:t xml:space="preserve">Today, the California Community College system of higher education consists of </w:t>
      </w:r>
      <w:r w:rsidR="00F94E1F">
        <w:rPr>
          <w:szCs w:val="22"/>
        </w:rPr>
        <w:t xml:space="preserve">116 colleges within those 73 districts, </w:t>
      </w:r>
      <w:r w:rsidR="00085065">
        <w:rPr>
          <w:szCs w:val="22"/>
        </w:rPr>
        <w:t xml:space="preserve">with </w:t>
      </w:r>
      <w:r w:rsidRPr="00B84B74">
        <w:rPr>
          <w:szCs w:val="22"/>
        </w:rPr>
        <w:t>each governed by a locally elected Board of Trustees.</w:t>
      </w:r>
      <w:r>
        <w:rPr>
          <w:szCs w:val="22"/>
        </w:rPr>
        <w:t xml:space="preserve"> </w:t>
      </w:r>
      <w:r w:rsidRPr="00B84B74">
        <w:rPr>
          <w:szCs w:val="22"/>
        </w:rPr>
        <w:t>Collectively, these institutions serve</w:t>
      </w:r>
      <w:r w:rsidR="00F94E1F">
        <w:rPr>
          <w:szCs w:val="22"/>
        </w:rPr>
        <w:t xml:space="preserve"> over</w:t>
      </w:r>
      <w:r w:rsidRPr="00B84B74">
        <w:rPr>
          <w:szCs w:val="22"/>
        </w:rPr>
        <w:t xml:space="preserve"> 1.9 million students</w:t>
      </w:r>
      <w:r w:rsidR="00CF4896">
        <w:rPr>
          <w:szCs w:val="22"/>
        </w:rPr>
        <w:t>.</w:t>
      </w:r>
      <w:r w:rsidRPr="00B84B74">
        <w:rPr>
          <w:szCs w:val="22"/>
        </w:rPr>
        <w:t xml:space="preserve"> </w:t>
      </w:r>
      <w:r w:rsidR="00CF4896">
        <w:rPr>
          <w:szCs w:val="22"/>
        </w:rPr>
        <w:t xml:space="preserve">The </w:t>
      </w:r>
      <w:r w:rsidR="000B4B67">
        <w:rPr>
          <w:szCs w:val="22"/>
        </w:rPr>
        <w:t>s</w:t>
      </w:r>
      <w:r w:rsidR="00CF4896">
        <w:rPr>
          <w:szCs w:val="22"/>
        </w:rPr>
        <w:t xml:space="preserve">tate </w:t>
      </w:r>
      <w:r w:rsidR="000B4B67">
        <w:rPr>
          <w:szCs w:val="22"/>
        </w:rPr>
        <w:t>c</w:t>
      </w:r>
      <w:r w:rsidR="00CF4896">
        <w:rPr>
          <w:szCs w:val="22"/>
        </w:rPr>
        <w:t xml:space="preserve">ontext is important to the development of Taft College’s Educational Master Plan in order to ensure alignment with </w:t>
      </w:r>
      <w:r w:rsidR="00F63107">
        <w:rPr>
          <w:szCs w:val="22"/>
        </w:rPr>
        <w:t>the</w:t>
      </w:r>
      <w:r w:rsidR="00CF4896">
        <w:rPr>
          <w:szCs w:val="22"/>
        </w:rPr>
        <w:t xml:space="preserve"> collective vision </w:t>
      </w:r>
      <w:r w:rsidR="00F63107">
        <w:rPr>
          <w:szCs w:val="22"/>
        </w:rPr>
        <w:t xml:space="preserve">of the California Community Colleges system </w:t>
      </w:r>
      <w:r w:rsidR="00CF4896">
        <w:rPr>
          <w:szCs w:val="22"/>
        </w:rPr>
        <w:t xml:space="preserve">for providing community college services </w:t>
      </w:r>
      <w:r w:rsidR="00CF4896">
        <w:t xml:space="preserve">to the state as a whole. Additionally, </w:t>
      </w:r>
      <w:r w:rsidR="00F63107">
        <w:t xml:space="preserve">California </w:t>
      </w:r>
      <w:r w:rsidR="00CF4896">
        <w:t xml:space="preserve">state laws </w:t>
      </w:r>
      <w:r w:rsidR="00F63107">
        <w:t xml:space="preserve">and regulations </w:t>
      </w:r>
      <w:r w:rsidR="00CF4896">
        <w:t>govern all community colleges in the state, and Taft College receives state apportionment dollars to conduct its work</w:t>
      </w:r>
      <w:r w:rsidR="00F63107">
        <w:t xml:space="preserve"> within these laws and the sta</w:t>
      </w:r>
      <w:r w:rsidR="00A737CB">
        <w:t>t</w:t>
      </w:r>
      <w:r w:rsidR="00F63107">
        <w:t>e vision. I</w:t>
      </w:r>
      <w:r w:rsidR="00CF4896">
        <w:t>n th</w:t>
      </w:r>
      <w:r w:rsidR="00F63107">
        <w:t xml:space="preserve">e sections that follow, </w:t>
      </w:r>
      <w:r w:rsidR="00CF4896">
        <w:t xml:space="preserve">a brief overview of </w:t>
      </w:r>
      <w:r w:rsidR="00F63107">
        <w:t xml:space="preserve">four key areas </w:t>
      </w:r>
      <w:r w:rsidR="00A737CB">
        <w:t>is</w:t>
      </w:r>
      <w:r w:rsidR="00F63107">
        <w:t xml:space="preserve"> </w:t>
      </w:r>
      <w:r w:rsidR="00A737CB">
        <w:t>provided to frame this Educational Master Plan: Role of California Community Colleges, Participation in Local Decision Making (AB 1725), Vision 2030, and New State In</w:t>
      </w:r>
      <w:r w:rsidR="00BC14F6">
        <w:t>i</w:t>
      </w:r>
      <w:r w:rsidR="00A737CB">
        <w:t>tiatives</w:t>
      </w:r>
      <w:r w:rsidR="00BC14F6">
        <w:t>.</w:t>
      </w:r>
      <w:r w:rsidR="00A737CB">
        <w:t xml:space="preserve"> More information can be found on the </w:t>
      </w:r>
      <w:hyperlink r:id="rId17" w:history="1">
        <w:r w:rsidR="00A737CB" w:rsidRPr="00A737CB">
          <w:rPr>
            <w:rStyle w:val="Hyperlink"/>
          </w:rPr>
          <w:t>California Community Colleges Chancellor’s Office</w:t>
        </w:r>
      </w:hyperlink>
      <w:r w:rsidR="00A737CB">
        <w:t xml:space="preserve"> website.</w:t>
      </w:r>
    </w:p>
    <w:p w14:paraId="3CFC49E3" w14:textId="1B2953E2" w:rsidR="00CF4896" w:rsidRDefault="00A737CB" w:rsidP="00CF4896">
      <w:pPr>
        <w:pStyle w:val="Heading2"/>
      </w:pPr>
      <w:bookmarkStart w:id="53" w:name="_Toc180340281"/>
      <w:bookmarkStart w:id="54" w:name="_Toc194931237"/>
      <w:bookmarkStart w:id="55" w:name="_Toc194931562"/>
      <w:r>
        <w:t xml:space="preserve">Role of </w:t>
      </w:r>
      <w:r w:rsidR="00CF4896">
        <w:t>California Community Colleges: Meeting the Needs of Students, Communities, and Workforce Development</w:t>
      </w:r>
      <w:bookmarkEnd w:id="53"/>
      <w:bookmarkEnd w:id="54"/>
      <w:bookmarkEnd w:id="55"/>
    </w:p>
    <w:p w14:paraId="1CA10E62" w14:textId="794D2C0F" w:rsidR="0009381C" w:rsidRPr="000C1A11" w:rsidRDefault="00CF4896" w:rsidP="000C1A11">
      <w:pPr>
        <w:spacing w:after="160"/>
        <w:rPr>
          <w:szCs w:val="22"/>
        </w:rPr>
      </w:pPr>
      <w:r w:rsidRPr="00730D9A">
        <w:t>The California Community Colleges (CCC) system</w:t>
      </w:r>
      <w:r>
        <w:t xml:space="preserve"> is</w:t>
      </w:r>
      <w:r w:rsidRPr="00730D9A">
        <w:t xml:space="preserve"> the largest higher education system in the nation.</w:t>
      </w:r>
      <w:r w:rsidR="00BC14F6">
        <w:t xml:space="preserve"> </w:t>
      </w:r>
      <w:r w:rsidR="0009381C" w:rsidRPr="00B84B74">
        <w:rPr>
          <w:szCs w:val="22"/>
        </w:rPr>
        <w:t>California community colleges remain dedicated to advancing the state's economic growth and global competitiveness through education, training, and services that enhance workforce development.</w:t>
      </w:r>
      <w:r w:rsidR="00562C94">
        <w:rPr>
          <w:szCs w:val="22"/>
        </w:rPr>
        <w:t xml:space="preserve"> </w:t>
      </w:r>
      <w:r w:rsidR="0009381C" w:rsidRPr="00B84B74">
        <w:rPr>
          <w:szCs w:val="22"/>
        </w:rPr>
        <w:t>California’s community colleges are also notable for attracting the most diverse student body in public higher education</w:t>
      </w:r>
      <w:r w:rsidR="000C1A11">
        <w:rPr>
          <w:szCs w:val="22"/>
        </w:rPr>
        <w:t xml:space="preserve">. As cited on the </w:t>
      </w:r>
      <w:hyperlink r:id="rId18" w:history="1">
        <w:r w:rsidR="000C1A11" w:rsidRPr="00A737CB">
          <w:rPr>
            <w:rStyle w:val="Hyperlink"/>
          </w:rPr>
          <w:t>California Community Colleges Chancellor’s Office</w:t>
        </w:r>
      </w:hyperlink>
      <w:r w:rsidR="000C1A11">
        <w:t xml:space="preserve"> website, </w:t>
      </w:r>
      <w:r w:rsidR="00562C94">
        <w:rPr>
          <w:szCs w:val="22"/>
        </w:rPr>
        <w:t>70</w:t>
      </w:r>
      <w:r w:rsidR="0009381C" w:rsidRPr="00B84B74">
        <w:rPr>
          <w:szCs w:val="22"/>
        </w:rPr>
        <w:t>% of students represen</w:t>
      </w:r>
      <w:r w:rsidR="0080046B">
        <w:rPr>
          <w:szCs w:val="22"/>
        </w:rPr>
        <w:t>tin</w:t>
      </w:r>
      <w:r w:rsidR="0009381C" w:rsidRPr="00B84B74">
        <w:rPr>
          <w:szCs w:val="22"/>
        </w:rPr>
        <w:t xml:space="preserve">g varied ethnic backgrounds. Furthermore, 51% of California State University graduates and 29% of University of California graduates embarked on their academic journey at a community college. </w:t>
      </w:r>
      <w:r w:rsidRPr="00730D9A">
        <w:t>The system is pivotal in fostering economic growth, global competitiveness, and equity in education.</w:t>
      </w:r>
    </w:p>
    <w:p w14:paraId="4D9BC7D3" w14:textId="61F2429E" w:rsidR="00224889" w:rsidRDefault="000C1A11" w:rsidP="00224889">
      <w:pPr>
        <w:pStyle w:val="Heading2"/>
      </w:pPr>
      <w:bookmarkStart w:id="56" w:name="_Toc194931238"/>
      <w:bookmarkStart w:id="57" w:name="_Toc194931563"/>
      <w:bookmarkStart w:id="58" w:name="_Toc159074950"/>
      <w:bookmarkStart w:id="59" w:name="_Toc159851757"/>
      <w:bookmarkStart w:id="60" w:name="_Toc159927496"/>
      <w:r>
        <w:t>P</w:t>
      </w:r>
      <w:r w:rsidR="00224889" w:rsidRPr="00730D9A">
        <w:t>articipation in Local Decision-Making</w:t>
      </w:r>
      <w:r w:rsidR="00BC14F6">
        <w:t xml:space="preserve"> (AB 1725)</w:t>
      </w:r>
      <w:bookmarkEnd w:id="56"/>
      <w:bookmarkEnd w:id="57"/>
    </w:p>
    <w:p w14:paraId="6C4DD326" w14:textId="77777777" w:rsidR="00224889" w:rsidRDefault="00224889" w:rsidP="00224889">
      <w:r w:rsidRPr="00730D9A">
        <w:t xml:space="preserve">Passed in 1988, </w:t>
      </w:r>
      <w:hyperlink r:id="rId19" w:history="1">
        <w:r w:rsidRPr="00730D9A">
          <w:rPr>
            <w:rStyle w:val="Hyperlink"/>
          </w:rPr>
          <w:t>AB 1725</w:t>
        </w:r>
      </w:hyperlink>
      <w:r w:rsidRPr="00730D9A">
        <w:t xml:space="preserve"> mandates participatory governance, ensuring faculty, staff, and students have roles in decision-making processes. </w:t>
      </w:r>
      <w:r>
        <w:t>The role for each is as follows:</w:t>
      </w:r>
    </w:p>
    <w:p w14:paraId="00AA4F6C" w14:textId="6419E69D" w:rsidR="00224889" w:rsidRPr="00730D9A" w:rsidRDefault="00224889" w:rsidP="005761F9">
      <w:pPr>
        <w:pStyle w:val="ListParagraph"/>
        <w:numPr>
          <w:ilvl w:val="0"/>
          <w:numId w:val="44"/>
        </w:numPr>
      </w:pPr>
      <w:r w:rsidRPr="00396407">
        <w:rPr>
          <w:b/>
          <w:bCs/>
        </w:rPr>
        <w:t>Academic Senate</w:t>
      </w:r>
      <w:r w:rsidR="00BC14F6">
        <w:rPr>
          <w:b/>
          <w:bCs/>
        </w:rPr>
        <w:t xml:space="preserve"> (Title 5, Section 53200)</w:t>
      </w:r>
      <w:r w:rsidRPr="00730D9A">
        <w:t xml:space="preserve"> </w:t>
      </w:r>
      <w:r w:rsidR="00BC14F6">
        <w:t xml:space="preserve">– </w:t>
      </w:r>
      <w:r w:rsidR="00264E7A">
        <w:t xml:space="preserve">Mandates that </w:t>
      </w:r>
      <w:r w:rsidR="00BC14F6">
        <w:t>Academic senates a</w:t>
      </w:r>
      <w:r w:rsidRPr="00730D9A">
        <w:t xml:space="preserve">dvise on </w:t>
      </w:r>
      <w:r>
        <w:t xml:space="preserve">academic and professional matters, </w:t>
      </w:r>
      <w:r w:rsidR="00264E7A">
        <w:t xml:space="preserve">such as </w:t>
      </w:r>
      <w:r w:rsidRPr="00730D9A">
        <w:t>curriculum, grading policies, program development</w:t>
      </w:r>
      <w:r w:rsidR="00264E7A">
        <w:t>, etc.</w:t>
      </w:r>
      <w:r w:rsidRPr="00730D9A">
        <w:t xml:space="preserve"> through the "10+1" framework.</w:t>
      </w:r>
    </w:p>
    <w:p w14:paraId="20B58407" w14:textId="5F6A9BD3" w:rsidR="00224889" w:rsidRPr="00264E7A" w:rsidRDefault="00224889" w:rsidP="005761F9">
      <w:pPr>
        <w:numPr>
          <w:ilvl w:val="0"/>
          <w:numId w:val="43"/>
        </w:numPr>
        <w:spacing w:after="160" w:line="259" w:lineRule="auto"/>
      </w:pPr>
      <w:r w:rsidRPr="00730D9A">
        <w:rPr>
          <w:b/>
          <w:bCs/>
        </w:rPr>
        <w:t>Staff Participation</w:t>
      </w:r>
      <w:r w:rsidR="00BC14F6">
        <w:rPr>
          <w:b/>
          <w:bCs/>
        </w:rPr>
        <w:t xml:space="preserve"> (Title 5, Section 51023.5) </w:t>
      </w:r>
      <w:r w:rsidR="00BC14F6">
        <w:t xml:space="preserve">– </w:t>
      </w:r>
      <w:r w:rsidR="00264E7A" w:rsidRPr="00264E7A">
        <w:t>Provides district and college staff (classified, managerial, non-represented, etc.) the opportunity to participate effectively in district and college governance.</w:t>
      </w:r>
    </w:p>
    <w:p w14:paraId="6E96D74F" w14:textId="7AD72926" w:rsidR="00224889" w:rsidRDefault="00224889" w:rsidP="005761F9">
      <w:pPr>
        <w:numPr>
          <w:ilvl w:val="0"/>
          <w:numId w:val="43"/>
        </w:numPr>
        <w:spacing w:after="0" w:line="259" w:lineRule="auto"/>
      </w:pPr>
      <w:r w:rsidRPr="00730D9A">
        <w:rPr>
          <w:b/>
          <w:bCs/>
        </w:rPr>
        <w:t>Student Involvement</w:t>
      </w:r>
      <w:r w:rsidR="00264E7A">
        <w:rPr>
          <w:b/>
          <w:bCs/>
        </w:rPr>
        <w:t xml:space="preserve"> (Title 5, Section 51023.7)</w:t>
      </w:r>
      <w:r w:rsidRPr="00730D9A">
        <w:t xml:space="preserve"> </w:t>
      </w:r>
      <w:r w:rsidR="00264E7A">
        <w:t xml:space="preserve">– </w:t>
      </w:r>
      <w:r w:rsidRPr="00730D9A">
        <w:t xml:space="preserve">Guarantees </w:t>
      </w:r>
      <w:r>
        <w:t>that</w:t>
      </w:r>
      <w:r w:rsidRPr="00730D9A">
        <w:t xml:space="preserve"> </w:t>
      </w:r>
      <w:r w:rsidRPr="00231480">
        <w:rPr>
          <w:rFonts w:ascii="Calibri" w:hAnsi="Calibri" w:cs="Calibri"/>
        </w:rPr>
        <w:t>students have a voice in shaping policies and procedures that affect them</w:t>
      </w:r>
      <w:r>
        <w:rPr>
          <w:rFonts w:ascii="Calibri" w:hAnsi="Calibri" w:cs="Calibri"/>
        </w:rPr>
        <w:t>, such as</w:t>
      </w:r>
      <w:r w:rsidRPr="00730D9A">
        <w:t xml:space="preserve"> policies </w:t>
      </w:r>
      <w:r>
        <w:t>on</w:t>
      </w:r>
      <w:r w:rsidRPr="00730D9A">
        <w:t xml:space="preserve"> grading, conduct, services</w:t>
      </w:r>
      <w:r w:rsidR="00264E7A">
        <w:t>, etc</w:t>
      </w:r>
      <w:r w:rsidRPr="00730D9A">
        <w:t>.</w:t>
      </w:r>
    </w:p>
    <w:p w14:paraId="46B68AE2" w14:textId="5DF2172B" w:rsidR="00506E07" w:rsidRPr="00730D9A" w:rsidRDefault="00506E07" w:rsidP="00506E07">
      <w:pPr>
        <w:pStyle w:val="Heading2"/>
      </w:pPr>
      <w:bookmarkStart w:id="61" w:name="_Toc194931239"/>
      <w:bookmarkStart w:id="62" w:name="_Toc194931564"/>
      <w:r>
        <w:t>Vision 2030</w:t>
      </w:r>
      <w:r w:rsidR="000B4B67">
        <w:t xml:space="preserve"> Foundations</w:t>
      </w:r>
      <w:bookmarkEnd w:id="61"/>
      <w:bookmarkEnd w:id="62"/>
    </w:p>
    <w:p w14:paraId="32B9DC02" w14:textId="152CDAD8" w:rsidR="005446B9" w:rsidRDefault="00264E7A" w:rsidP="00264E7A">
      <w:pPr>
        <w:rPr>
          <w:szCs w:val="22"/>
        </w:rPr>
      </w:pPr>
      <w:bookmarkStart w:id="63" w:name="_Toc159074951"/>
      <w:bookmarkStart w:id="64" w:name="_Toc159851758"/>
      <w:bookmarkStart w:id="65" w:name="_Toc159927497"/>
      <w:bookmarkEnd w:id="58"/>
      <w:bookmarkEnd w:id="59"/>
      <w:bookmarkEnd w:id="60"/>
      <w:r>
        <w:t>In 2017</w:t>
      </w:r>
      <w:r w:rsidR="005446B9">
        <w:t>,</w:t>
      </w:r>
      <w:r>
        <w:t xml:space="preserve"> State Chancellor </w:t>
      </w:r>
      <w:r w:rsidR="005446B9">
        <w:t xml:space="preserve">Eloy Oakley </w:t>
      </w:r>
      <w:r>
        <w:t xml:space="preserve">launched </w:t>
      </w:r>
      <w:r>
        <w:rPr>
          <w:i/>
          <w:iCs/>
        </w:rPr>
        <w:t xml:space="preserve">Vision for Success </w:t>
      </w:r>
      <w:r>
        <w:t>– an initiative focused on a commitment to</w:t>
      </w:r>
      <w:r w:rsidRPr="00B84B74">
        <w:rPr>
          <w:szCs w:val="22"/>
        </w:rPr>
        <w:t xml:space="preserve"> ensure that students from all backgrounds succeed in reaching their goals and improving their families and communities</w:t>
      </w:r>
      <w:r w:rsidR="000B4B67">
        <w:rPr>
          <w:szCs w:val="22"/>
        </w:rPr>
        <w:t xml:space="preserve"> to</w:t>
      </w:r>
      <w:r w:rsidRPr="00B84B74">
        <w:rPr>
          <w:szCs w:val="22"/>
        </w:rPr>
        <w:t xml:space="preserve"> eliminat</w:t>
      </w:r>
      <w:r w:rsidR="000B4B67">
        <w:rPr>
          <w:szCs w:val="22"/>
        </w:rPr>
        <w:t>e</w:t>
      </w:r>
      <w:r w:rsidRPr="00B84B74">
        <w:rPr>
          <w:szCs w:val="22"/>
        </w:rPr>
        <w:t xml:space="preserve"> gaps once and for all.</w:t>
      </w:r>
      <w:r>
        <w:rPr>
          <w:szCs w:val="22"/>
        </w:rPr>
        <w:t xml:space="preserve"> </w:t>
      </w:r>
      <w:r w:rsidR="005446B9">
        <w:rPr>
          <w:szCs w:val="22"/>
        </w:rPr>
        <w:t xml:space="preserve">Goals and targets were set, and a comprehensive framework was provided to ensure its success. Three key elements were emphasized: </w:t>
      </w:r>
    </w:p>
    <w:p w14:paraId="362D2D8C" w14:textId="20A025A0" w:rsidR="00506E07" w:rsidRDefault="005446B9" w:rsidP="007328B8">
      <w:pPr>
        <w:pStyle w:val="ListParagraph"/>
        <w:numPr>
          <w:ilvl w:val="0"/>
          <w:numId w:val="44"/>
        </w:numPr>
      </w:pPr>
      <w:bookmarkStart w:id="66" w:name="_Toc194322807"/>
      <w:bookmarkStart w:id="67" w:name="_Toc194324182"/>
      <w:r w:rsidRPr="007328B8">
        <w:rPr>
          <w:b/>
          <w:bCs/>
          <w:color w:val="2E74B5" w:themeColor="accent5" w:themeShade="BF"/>
        </w:rPr>
        <w:t>Guided Pathways</w:t>
      </w:r>
      <w:bookmarkEnd w:id="66"/>
      <w:bookmarkEnd w:id="67"/>
      <w:r>
        <w:t xml:space="preserve"> – Four pillars to support the student’s journey from the point of entry through completion: Clarify the path, Enter the path, Stay on the path, and Ensure </w:t>
      </w:r>
      <w:r w:rsidR="000B4B67">
        <w:t>l</w:t>
      </w:r>
      <w:r>
        <w:t xml:space="preserve">earning. Collaboration both </w:t>
      </w:r>
      <w:r>
        <w:lastRenderedPageBreak/>
        <w:t>across disciplines within fields of study, and between instructional and student support services</w:t>
      </w:r>
      <w:r w:rsidR="00F54848">
        <w:t xml:space="preserve"> is essential to the process; student ac</w:t>
      </w:r>
      <w:r>
        <w:t>cess, retention, persistence, and completion are i</w:t>
      </w:r>
      <w:r w:rsidR="00F54848">
        <w:t>ntended milestones</w:t>
      </w:r>
      <w:r w:rsidR="0080046B">
        <w:t>.</w:t>
      </w:r>
      <w:r w:rsidR="00F54848">
        <w:t xml:space="preserve"> </w:t>
      </w:r>
      <w:r w:rsidR="00F54848">
        <w:br/>
      </w:r>
    </w:p>
    <w:p w14:paraId="546DD699" w14:textId="3AD02D70" w:rsidR="00F54848" w:rsidRDefault="00F54848" w:rsidP="007328B8">
      <w:pPr>
        <w:pStyle w:val="ListParagraph"/>
        <w:numPr>
          <w:ilvl w:val="0"/>
          <w:numId w:val="44"/>
        </w:numPr>
      </w:pPr>
      <w:bookmarkStart w:id="68" w:name="_Toc194322808"/>
      <w:bookmarkStart w:id="69" w:name="_Toc194324183"/>
      <w:r w:rsidRPr="007328B8">
        <w:rPr>
          <w:b/>
          <w:bCs/>
          <w:color w:val="2E74B5" w:themeColor="accent5" w:themeShade="BF"/>
        </w:rPr>
        <w:t>Student Equity and Achievement</w:t>
      </w:r>
      <w:bookmarkEnd w:id="68"/>
      <w:bookmarkEnd w:id="69"/>
      <w:r>
        <w:t xml:space="preserve"> – Emphasizes equity in access, success, and support by examining disaggregated data and focuses actions to identify and eliminate disproportionate gaps among various student population subsets (age, gender, ethnicity, etc.)</w:t>
      </w:r>
      <w:r w:rsidR="0080046B">
        <w:t>.</w:t>
      </w:r>
      <w:r>
        <w:br/>
      </w:r>
    </w:p>
    <w:p w14:paraId="04A02023" w14:textId="6DB26199" w:rsidR="00F54848" w:rsidRPr="00DA3C72" w:rsidRDefault="00F54848" w:rsidP="007328B8">
      <w:pPr>
        <w:pStyle w:val="ListParagraph"/>
        <w:numPr>
          <w:ilvl w:val="0"/>
          <w:numId w:val="44"/>
        </w:numPr>
      </w:pPr>
      <w:bookmarkStart w:id="70" w:name="_Toc194322809"/>
      <w:bookmarkStart w:id="71" w:name="_Toc194324184"/>
      <w:r w:rsidRPr="007328B8">
        <w:rPr>
          <w:b/>
          <w:bCs/>
          <w:color w:val="2E74B5" w:themeColor="accent5" w:themeShade="BF"/>
        </w:rPr>
        <w:t>Student Centered Funding Formula (SCFF)</w:t>
      </w:r>
      <w:bookmarkEnd w:id="70"/>
      <w:bookmarkEnd w:id="71"/>
      <w:r w:rsidRPr="007328B8">
        <w:t xml:space="preserve"> </w:t>
      </w:r>
      <w:r w:rsidRPr="00DA3C72">
        <w:t xml:space="preserve">–  </w:t>
      </w:r>
      <w:r w:rsidR="00D62DEB">
        <w:t>I</w:t>
      </w:r>
      <w:r w:rsidRPr="00DA3C72">
        <w:t xml:space="preserve">ncluded in the 2018-19 state budget as an innovative method to allocate funding to community college districts using a formula designed to support the goals and commitment set by the </w:t>
      </w:r>
      <w:r w:rsidRPr="007328B8">
        <w:rPr>
          <w:i/>
          <w:iCs/>
        </w:rPr>
        <w:t>Vision for Success</w:t>
      </w:r>
      <w:r w:rsidRPr="00DA3C72">
        <w:t xml:space="preserve"> plan and is aligned with the </w:t>
      </w:r>
      <w:r w:rsidRPr="007328B8">
        <w:rPr>
          <w:i/>
          <w:iCs/>
        </w:rPr>
        <w:t>Guided Pathways</w:t>
      </w:r>
      <w:r w:rsidRPr="00DA3C72">
        <w:t xml:space="preserve"> student success metrics. </w:t>
      </w:r>
      <w:r w:rsidR="00DA3C72" w:rsidRPr="00DA3C72">
        <w:t xml:space="preserve">The </w:t>
      </w:r>
      <w:r w:rsidRPr="00DA3C72">
        <w:t>SCFF is based on three primary calculations</w:t>
      </w:r>
      <w:r w:rsidR="00DA3C72">
        <w:t xml:space="preserve">: (1) </w:t>
      </w:r>
      <w:r w:rsidRPr="00DA3C72">
        <w:t>A base allocation</w:t>
      </w:r>
      <w:r w:rsidR="00DA3C72">
        <w:t xml:space="preserve"> which largely reflects enrollment; (2) a supplemental allocation based on the number of students receiving financial aid; and (3) a student success allocation based on success outcomes for the Vision for Success metrics.</w:t>
      </w:r>
    </w:p>
    <w:p w14:paraId="3DCDB15A" w14:textId="02108F52" w:rsidR="0036566F" w:rsidRDefault="000C1A11" w:rsidP="00264E7A">
      <w:pPr>
        <w:rPr>
          <w:szCs w:val="22"/>
        </w:rPr>
      </w:pPr>
      <w:r w:rsidRPr="00B84B74">
        <w:rPr>
          <w:noProof/>
          <w:szCs w:val="22"/>
        </w:rPr>
        <w:drawing>
          <wp:anchor distT="0" distB="0" distL="114300" distR="114300" simplePos="0" relativeHeight="251719680" behindDoc="0" locked="0" layoutInCell="1" allowOverlap="1" wp14:anchorId="1F6C0CF0" wp14:editId="02CAAD6C">
            <wp:simplePos x="0" y="0"/>
            <wp:positionH relativeFrom="column">
              <wp:posOffset>0</wp:posOffset>
            </wp:positionH>
            <wp:positionV relativeFrom="paragraph">
              <wp:posOffset>993091</wp:posOffset>
            </wp:positionV>
            <wp:extent cx="6343650" cy="4831715"/>
            <wp:effectExtent l="0" t="0" r="0" b="6985"/>
            <wp:wrapTopAndBottom/>
            <wp:docPr id="1747728047" name="Picture 3" descr="A group of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89738" name="Picture 1" descr="A group of blue and white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343650" cy="4831715"/>
                    </a:xfrm>
                    <a:prstGeom prst="rect">
                      <a:avLst/>
                    </a:prstGeom>
                  </pic:spPr>
                </pic:pic>
              </a:graphicData>
            </a:graphic>
            <wp14:sizeRelH relativeFrom="page">
              <wp14:pctWidth>0</wp14:pctWidth>
            </wp14:sizeRelH>
            <wp14:sizeRelV relativeFrom="page">
              <wp14:pctHeight>0</wp14:pctHeight>
            </wp14:sizeRelV>
          </wp:anchor>
        </w:drawing>
      </w:r>
      <w:r w:rsidR="00DA3C72">
        <w:rPr>
          <w:szCs w:val="22"/>
        </w:rPr>
        <w:t xml:space="preserve">Following the </w:t>
      </w:r>
      <w:r w:rsidR="00BC2144">
        <w:rPr>
          <w:i/>
          <w:iCs/>
          <w:szCs w:val="22"/>
        </w:rPr>
        <w:t>COVID-19 pandemic</w:t>
      </w:r>
      <w:r w:rsidR="00DA3C72">
        <w:rPr>
          <w:szCs w:val="22"/>
        </w:rPr>
        <w:t xml:space="preserve"> of 2020-2021, the </w:t>
      </w:r>
      <w:r w:rsidR="00DA3C72" w:rsidRPr="00DA3C72">
        <w:rPr>
          <w:i/>
          <w:iCs/>
          <w:szCs w:val="22"/>
        </w:rPr>
        <w:t>Vision for Success Reaffirmed</w:t>
      </w:r>
      <w:r w:rsidR="00DA3C72">
        <w:rPr>
          <w:szCs w:val="22"/>
        </w:rPr>
        <w:t xml:space="preserve"> </w:t>
      </w:r>
      <w:r w:rsidR="00DA3C72" w:rsidRPr="00DA3C72">
        <w:rPr>
          <w:i/>
          <w:iCs/>
          <w:szCs w:val="22"/>
        </w:rPr>
        <w:t>(2021),</w:t>
      </w:r>
      <w:r w:rsidR="00DA3C72">
        <w:rPr>
          <w:i/>
          <w:iCs/>
          <w:szCs w:val="22"/>
        </w:rPr>
        <w:t xml:space="preserve"> </w:t>
      </w:r>
      <w:r w:rsidR="00DA3C72">
        <w:rPr>
          <w:szCs w:val="22"/>
        </w:rPr>
        <w:t xml:space="preserve">the </w:t>
      </w:r>
      <w:r w:rsidR="00DA3C72" w:rsidRPr="00DA3C72">
        <w:rPr>
          <w:i/>
          <w:iCs/>
          <w:szCs w:val="22"/>
        </w:rPr>
        <w:t>Governor’s Roadmap (2022-2027)</w:t>
      </w:r>
      <w:r w:rsidR="00DA3C72">
        <w:rPr>
          <w:szCs w:val="22"/>
        </w:rPr>
        <w:t xml:space="preserve">, and the </w:t>
      </w:r>
      <w:r w:rsidR="0036566F">
        <w:rPr>
          <w:szCs w:val="22"/>
        </w:rPr>
        <w:t xml:space="preserve">new State Chancellor, </w:t>
      </w:r>
      <w:r w:rsidR="0036566F" w:rsidRPr="00B84B74">
        <w:rPr>
          <w:rFonts w:cstheme="minorHAnsi"/>
          <w:szCs w:val="22"/>
        </w:rPr>
        <w:t>Dr. Sonya Christian</w:t>
      </w:r>
      <w:r w:rsidR="0036566F">
        <w:rPr>
          <w:rFonts w:cstheme="minorHAnsi"/>
          <w:szCs w:val="22"/>
        </w:rPr>
        <w:t>’s</w:t>
      </w:r>
      <w:r w:rsidR="0036566F" w:rsidRPr="00DA3C72">
        <w:rPr>
          <w:i/>
          <w:iCs/>
          <w:szCs w:val="22"/>
        </w:rPr>
        <w:t xml:space="preserve"> </w:t>
      </w:r>
      <w:r w:rsidR="00DA3C72" w:rsidRPr="00DA3C72">
        <w:rPr>
          <w:i/>
          <w:iCs/>
          <w:szCs w:val="22"/>
        </w:rPr>
        <w:t>Vision 2030 (2024-2030)</w:t>
      </w:r>
      <w:r w:rsidR="0036566F">
        <w:rPr>
          <w:i/>
          <w:iCs/>
          <w:szCs w:val="22"/>
        </w:rPr>
        <w:t xml:space="preserve"> </w:t>
      </w:r>
      <w:r w:rsidR="0036566F">
        <w:rPr>
          <w:szCs w:val="22"/>
        </w:rPr>
        <w:t>have continued to reaffirm the commitment to the three cornerstones of Equity in Student Access, Equity in Success, and Equity in Support. From 2017 to today, the goals of each of these statewide frameworks have remained consistent, as reflected in the below infographic.</w:t>
      </w:r>
    </w:p>
    <w:p w14:paraId="2D24F356" w14:textId="33397AEE" w:rsidR="00281577" w:rsidRPr="00281577" w:rsidRDefault="00281577" w:rsidP="00281577">
      <w:pPr>
        <w:pStyle w:val="Heading2"/>
      </w:pPr>
      <w:bookmarkStart w:id="72" w:name="_Toc194931240"/>
      <w:bookmarkStart w:id="73" w:name="_Toc194931565"/>
      <w:bookmarkStart w:id="74" w:name="_Toc167527653"/>
      <w:bookmarkEnd w:id="63"/>
      <w:bookmarkEnd w:id="64"/>
      <w:bookmarkEnd w:id="65"/>
      <w:r>
        <w:lastRenderedPageBreak/>
        <w:t>New State Initiatives</w:t>
      </w:r>
      <w:bookmarkEnd w:id="72"/>
      <w:bookmarkEnd w:id="73"/>
    </w:p>
    <w:p w14:paraId="4885F1F8" w14:textId="02C63CAF" w:rsidR="00281577" w:rsidRDefault="00281577" w:rsidP="00281577">
      <w:r>
        <w:t>As Taft College embarks on its new ten-year Educational Master Plan, the tenets of Vision 2030 continue to frame the work of the College. Additional new initiatives have been developing as well, including the following:</w:t>
      </w:r>
    </w:p>
    <w:p w14:paraId="5F991B6C" w14:textId="42F06D67" w:rsidR="00281577" w:rsidRDefault="00281577" w:rsidP="005761F9">
      <w:pPr>
        <w:pStyle w:val="ListParagraph"/>
        <w:numPr>
          <w:ilvl w:val="0"/>
          <w:numId w:val="46"/>
        </w:numPr>
      </w:pPr>
      <w:r>
        <w:t>Refinement of the California community college baccalaureate degree</w:t>
      </w:r>
    </w:p>
    <w:p w14:paraId="509A7427" w14:textId="77777777" w:rsidR="00281577" w:rsidRDefault="00281577" w:rsidP="005761F9">
      <w:pPr>
        <w:pStyle w:val="ListParagraph"/>
        <w:numPr>
          <w:ilvl w:val="0"/>
          <w:numId w:val="46"/>
        </w:numPr>
        <w:spacing w:after="160"/>
        <w:rPr>
          <w:szCs w:val="22"/>
        </w:rPr>
      </w:pPr>
      <w:r>
        <w:rPr>
          <w:szCs w:val="22"/>
        </w:rPr>
        <w:t>C</w:t>
      </w:r>
      <w:r w:rsidRPr="00281577">
        <w:rPr>
          <w:szCs w:val="22"/>
        </w:rPr>
        <w:t>ollaborative work to streamline transfer among California’s three public systems of higher education (UC, CSU, and the CCCs).</w:t>
      </w:r>
    </w:p>
    <w:p w14:paraId="213B23E4" w14:textId="6D747FA3" w:rsidR="00281577" w:rsidRPr="00281577" w:rsidRDefault="00281577" w:rsidP="005761F9">
      <w:pPr>
        <w:pStyle w:val="ListParagraph"/>
        <w:numPr>
          <w:ilvl w:val="0"/>
          <w:numId w:val="46"/>
        </w:numPr>
        <w:spacing w:after="160"/>
        <w:rPr>
          <w:szCs w:val="22"/>
        </w:rPr>
      </w:pPr>
      <w:r w:rsidRPr="00281577">
        <w:rPr>
          <w:szCs w:val="22"/>
        </w:rPr>
        <w:t>California’s emerging higher education priorities and technologies</w:t>
      </w:r>
      <w:r>
        <w:rPr>
          <w:szCs w:val="22"/>
        </w:rPr>
        <w:t xml:space="preserve">, </w:t>
      </w:r>
      <w:r w:rsidRPr="00281577">
        <w:rPr>
          <w:szCs w:val="22"/>
        </w:rPr>
        <w:t>including the evolving Master Plan for Career Education and Artificial Intelligence (AI)</w:t>
      </w:r>
    </w:p>
    <w:p w14:paraId="6AA7045A" w14:textId="77777777" w:rsidR="000C1A11" w:rsidRDefault="00281577" w:rsidP="000C1A11">
      <w:pPr>
        <w:spacing w:after="160"/>
        <w:rPr>
          <w:szCs w:val="22"/>
        </w:rPr>
      </w:pPr>
      <w:r>
        <w:t>More information on these</w:t>
      </w:r>
      <w:r w:rsidR="000C1A11">
        <w:t xml:space="preserve">, other new initiatives, and legislative agenda on the horizon can be found on the </w:t>
      </w:r>
      <w:hyperlink r:id="rId21" w:history="1">
        <w:r w:rsidR="000C1A11" w:rsidRPr="00A737CB">
          <w:rPr>
            <w:rStyle w:val="Hyperlink"/>
          </w:rPr>
          <w:t>California Community Colleges Chancellor’s Office</w:t>
        </w:r>
      </w:hyperlink>
      <w:r w:rsidR="000C1A11">
        <w:t xml:space="preserve"> website.</w:t>
      </w:r>
    </w:p>
    <w:p w14:paraId="48F5FAC3" w14:textId="630432A5" w:rsidR="00AC3482" w:rsidRDefault="00BC3F5A" w:rsidP="00AC3482">
      <w:pPr>
        <w:pStyle w:val="Heading1"/>
      </w:pPr>
      <w:bookmarkStart w:id="75" w:name="_Toc194931241"/>
      <w:bookmarkStart w:id="76" w:name="_Toc194931566"/>
      <w:bookmarkEnd w:id="74"/>
      <w:r>
        <w:t>Taft College</w:t>
      </w:r>
      <w:r w:rsidR="00C15415">
        <w:t xml:space="preserve"> Planning</w:t>
      </w:r>
      <w:bookmarkEnd w:id="75"/>
      <w:bookmarkEnd w:id="76"/>
    </w:p>
    <w:p w14:paraId="67CEE9B8" w14:textId="6012B6A6" w:rsidR="00326D53" w:rsidRDefault="00326D53" w:rsidP="00AC3482">
      <w:pPr>
        <w:pStyle w:val="Heading2"/>
      </w:pPr>
      <w:bookmarkStart w:id="77" w:name="_Toc194931242"/>
      <w:bookmarkStart w:id="78" w:name="_Toc194931567"/>
      <w:r>
        <w:t>Integrated Planning</w:t>
      </w:r>
      <w:bookmarkEnd w:id="77"/>
      <w:bookmarkEnd w:id="78"/>
      <w:r>
        <w:t xml:space="preserve"> </w:t>
      </w:r>
    </w:p>
    <w:p w14:paraId="16010AE3" w14:textId="24427AC4" w:rsidR="001C4DD3" w:rsidRDefault="001C4DD3" w:rsidP="001C4DD3">
      <w:pPr>
        <w:rPr>
          <w:rFonts w:ascii="Calibri" w:hAnsi="Calibri"/>
        </w:rPr>
      </w:pPr>
      <w:r w:rsidRPr="0046713D">
        <w:rPr>
          <w:rFonts w:ascii="Calibri" w:hAnsi="Calibri"/>
        </w:rPr>
        <w:t xml:space="preserve">Taft College’s </w:t>
      </w:r>
      <w:hyperlink r:id="rId22" w:history="1">
        <w:r w:rsidRPr="0046713D">
          <w:rPr>
            <w:rStyle w:val="Hyperlink"/>
            <w:rFonts w:ascii="Calibri" w:hAnsi="Calibri"/>
          </w:rPr>
          <w:t>in</w:t>
        </w:r>
        <w:r>
          <w:rPr>
            <w:rStyle w:val="Hyperlink"/>
            <w:rFonts w:ascii="Calibri" w:hAnsi="Calibri"/>
          </w:rPr>
          <w:t>stitutional</w:t>
        </w:r>
        <w:r w:rsidRPr="0046713D">
          <w:rPr>
            <w:rStyle w:val="Hyperlink"/>
            <w:rFonts w:ascii="Calibri" w:hAnsi="Calibri"/>
          </w:rPr>
          <w:t xml:space="preserve"> planning</w:t>
        </w:r>
      </w:hyperlink>
      <w:r w:rsidRPr="0046713D">
        <w:rPr>
          <w:rFonts w:ascii="Calibri" w:hAnsi="Calibri"/>
        </w:rPr>
        <w:t xml:space="preserve"> uses a </w:t>
      </w:r>
      <w:r>
        <w:rPr>
          <w:rFonts w:ascii="Calibri" w:hAnsi="Calibri"/>
        </w:rPr>
        <w:t xml:space="preserve">data-informed, </w:t>
      </w:r>
      <w:r w:rsidRPr="0046713D">
        <w:rPr>
          <w:rFonts w:ascii="Calibri" w:hAnsi="Calibri"/>
        </w:rPr>
        <w:t>multi-layered</w:t>
      </w:r>
      <w:r>
        <w:rPr>
          <w:rFonts w:ascii="Calibri" w:hAnsi="Calibri"/>
        </w:rPr>
        <w:t>, integrated</w:t>
      </w:r>
      <w:r w:rsidRPr="0046713D">
        <w:rPr>
          <w:rFonts w:ascii="Calibri" w:hAnsi="Calibri"/>
        </w:rPr>
        <w:t xml:space="preserve"> approach, combining institution-level and department-level plans to guide activities across the college. Institution-level plans, such as the Educational Master Plan (EMP) and Strategic Action Plan (SAP), set long-term goals and strategic directions. Supporting these are the Technology Plan, Facilities Plan, and Student Equity </w:t>
      </w:r>
      <w:r w:rsidR="002B366F">
        <w:rPr>
          <w:rFonts w:ascii="Calibri" w:hAnsi="Calibri"/>
        </w:rPr>
        <w:t xml:space="preserve">Plan </w:t>
      </w:r>
      <w:r w:rsidRPr="0046713D">
        <w:rPr>
          <w:rFonts w:ascii="Calibri" w:hAnsi="Calibri"/>
        </w:rPr>
        <w:t xml:space="preserve">(SEP), each aligned with the SAP to advance specific college areas in </w:t>
      </w:r>
      <w:r>
        <w:rPr>
          <w:rFonts w:ascii="Calibri" w:hAnsi="Calibri"/>
        </w:rPr>
        <w:t>alignment with the goals of the long-range</w:t>
      </w:r>
      <w:r w:rsidRPr="0046713D">
        <w:rPr>
          <w:rFonts w:ascii="Calibri" w:hAnsi="Calibri"/>
        </w:rPr>
        <w:t xml:space="preserve"> EMP.</w:t>
      </w:r>
    </w:p>
    <w:p w14:paraId="20BA916C" w14:textId="631BFDFD" w:rsidR="002A4E27" w:rsidRDefault="001C4DD3" w:rsidP="001C4DD3">
      <w:pPr>
        <w:rPr>
          <w:rFonts w:ascii="Calibri" w:hAnsi="Calibri"/>
        </w:rPr>
      </w:pPr>
      <w:r>
        <w:rPr>
          <w:rFonts w:ascii="Calibri" w:hAnsi="Calibri"/>
        </w:rPr>
        <w:t>A</w:t>
      </w:r>
      <w:r w:rsidRPr="0046713D">
        <w:rPr>
          <w:rFonts w:ascii="Calibri" w:hAnsi="Calibri"/>
        </w:rPr>
        <w:t xml:space="preserve">rea plans, informed by program reviews, include operational goals, budgets, and actionable items to improve college effectiveness. Regular assessments ensure these plans remain relevant, with new plans added as needed, such </w:t>
      </w:r>
      <w:r w:rsidR="0080046B">
        <w:rPr>
          <w:rFonts w:ascii="Calibri" w:hAnsi="Calibri"/>
        </w:rPr>
        <w:t>the</w:t>
      </w:r>
      <w:r w:rsidRPr="0046713D">
        <w:rPr>
          <w:rFonts w:ascii="Calibri" w:hAnsi="Calibri"/>
        </w:rPr>
        <w:t xml:space="preserve"> </w:t>
      </w:r>
      <w:r w:rsidR="002A4E27">
        <w:rPr>
          <w:rFonts w:ascii="Calibri" w:hAnsi="Calibri"/>
        </w:rPr>
        <w:t xml:space="preserve">Strategic </w:t>
      </w:r>
      <w:r w:rsidRPr="0046713D">
        <w:rPr>
          <w:rFonts w:ascii="Calibri" w:hAnsi="Calibri"/>
        </w:rPr>
        <w:t xml:space="preserve">Enrollment </w:t>
      </w:r>
      <w:r w:rsidR="002A4E27">
        <w:rPr>
          <w:rFonts w:ascii="Calibri" w:hAnsi="Calibri"/>
        </w:rPr>
        <w:t xml:space="preserve">Management (SEM) </w:t>
      </w:r>
      <w:r w:rsidRPr="0046713D">
        <w:rPr>
          <w:rFonts w:ascii="Calibri" w:hAnsi="Calibri"/>
        </w:rPr>
        <w:t xml:space="preserve">Plan currently under </w:t>
      </w:r>
      <w:r w:rsidR="0080046B">
        <w:rPr>
          <w:rFonts w:ascii="Calibri" w:hAnsi="Calibri"/>
        </w:rPr>
        <w:t>development</w:t>
      </w:r>
      <w:r w:rsidRPr="0046713D">
        <w:rPr>
          <w:rFonts w:ascii="Calibri" w:hAnsi="Calibri"/>
        </w:rPr>
        <w:t>.</w:t>
      </w:r>
      <w:r w:rsidR="002A4E27">
        <w:rPr>
          <w:rFonts w:ascii="Calibri" w:hAnsi="Calibri"/>
        </w:rPr>
        <w:t xml:space="preserve"> </w:t>
      </w:r>
    </w:p>
    <w:p w14:paraId="5CFC8C5B" w14:textId="1CEA4579" w:rsidR="002A4E27" w:rsidRDefault="002A4E27" w:rsidP="001C4DD3">
      <w:pPr>
        <w:rPr>
          <w:rFonts w:ascii="Calibri" w:hAnsi="Calibri"/>
        </w:rPr>
      </w:pPr>
      <w:r w:rsidRPr="0046713D">
        <w:rPr>
          <w:rFonts w:ascii="Calibri" w:hAnsi="Calibri"/>
        </w:rPr>
        <w:t xml:space="preserve">Action plans, developed from </w:t>
      </w:r>
      <w:r w:rsidR="00006B74">
        <w:rPr>
          <w:rFonts w:ascii="Calibri" w:hAnsi="Calibri"/>
        </w:rPr>
        <w:t xml:space="preserve">data-informed </w:t>
      </w:r>
      <w:r w:rsidRPr="0046713D">
        <w:rPr>
          <w:rFonts w:ascii="Calibri" w:hAnsi="Calibri"/>
        </w:rPr>
        <w:t>program reviews, outline steps for enhancing program effectiveness and resource needs, bringing a bottom-up perspective to the planning process through the college’s committee structures.</w:t>
      </w:r>
    </w:p>
    <w:p w14:paraId="1DAFF204" w14:textId="4A49153D" w:rsidR="001C4DD3" w:rsidRPr="00006B74" w:rsidRDefault="002A4E27" w:rsidP="001C4DD3">
      <w:pPr>
        <w:rPr>
          <w:rFonts w:ascii="Calibri" w:hAnsi="Calibri"/>
        </w:rPr>
      </w:pPr>
      <w:r>
        <w:rPr>
          <w:rFonts w:ascii="Calibri" w:hAnsi="Calibri"/>
        </w:rPr>
        <w:t xml:space="preserve">The </w:t>
      </w:r>
      <w:hyperlink r:id="rId23" w:history="1">
        <w:r w:rsidRPr="002A4E27">
          <w:rPr>
            <w:rStyle w:val="Hyperlink"/>
            <w:rFonts w:ascii="Calibri" w:hAnsi="Calibri"/>
          </w:rPr>
          <w:t>Taft College Planning Guide Manual of Institutional Plans</w:t>
        </w:r>
      </w:hyperlink>
      <w:r>
        <w:rPr>
          <w:rFonts w:ascii="Calibri" w:hAnsi="Calibri"/>
        </w:rPr>
        <w:t xml:space="preserve"> provide</w:t>
      </w:r>
      <w:r w:rsidR="0001375B">
        <w:rPr>
          <w:rFonts w:ascii="Calibri" w:hAnsi="Calibri"/>
        </w:rPr>
        <w:t>s</w:t>
      </w:r>
      <w:r>
        <w:rPr>
          <w:rFonts w:ascii="Calibri" w:hAnsi="Calibri"/>
        </w:rPr>
        <w:t xml:space="preserve"> users with information on </w:t>
      </w:r>
      <w:r w:rsidR="00006B74">
        <w:rPr>
          <w:rFonts w:ascii="Calibri" w:hAnsi="Calibri"/>
        </w:rPr>
        <w:t xml:space="preserve">each plan and </w:t>
      </w:r>
      <w:r>
        <w:rPr>
          <w:rFonts w:ascii="Calibri" w:hAnsi="Calibri"/>
        </w:rPr>
        <w:t>the integrated planning process</w:t>
      </w:r>
      <w:r w:rsidR="00006B74">
        <w:rPr>
          <w:rFonts w:ascii="Calibri" w:hAnsi="Calibri"/>
        </w:rPr>
        <w:t>. The manual is updated on a regular basis. It is currently being updated</w:t>
      </w:r>
      <w:r>
        <w:rPr>
          <w:rFonts w:ascii="Calibri" w:hAnsi="Calibri"/>
        </w:rPr>
        <w:t xml:space="preserve"> </w:t>
      </w:r>
      <w:r w:rsidR="00006B74">
        <w:rPr>
          <w:rFonts w:ascii="Calibri" w:hAnsi="Calibri"/>
        </w:rPr>
        <w:t xml:space="preserve">with the below infographic reflecting the new three-year comprehensive program review process, which is described in the next section. </w:t>
      </w:r>
    </w:p>
    <w:p w14:paraId="5D41AD70" w14:textId="77777777" w:rsidR="00006B74" w:rsidRDefault="00006B74" w:rsidP="00006B74">
      <w:pPr>
        <w:spacing w:after="0"/>
        <w:jc w:val="center"/>
        <w:rPr>
          <w:rFonts w:ascii="Calibri" w:hAnsi="Calibri"/>
          <w:b/>
          <w:bCs/>
          <w:sz w:val="24"/>
        </w:rPr>
      </w:pPr>
      <w:bookmarkStart w:id="79" w:name="_Toc167676415"/>
    </w:p>
    <w:p w14:paraId="39693226" w14:textId="77777777" w:rsidR="003066FE" w:rsidRDefault="003066FE">
      <w:pPr>
        <w:spacing w:after="0"/>
        <w:rPr>
          <w:rFonts w:ascii="Calibri" w:hAnsi="Calibri"/>
          <w:b/>
          <w:bCs/>
          <w:sz w:val="24"/>
        </w:rPr>
      </w:pPr>
      <w:r>
        <w:rPr>
          <w:rFonts w:ascii="Calibri" w:hAnsi="Calibri"/>
          <w:b/>
          <w:bCs/>
          <w:sz w:val="24"/>
        </w:rPr>
        <w:br w:type="page"/>
      </w:r>
    </w:p>
    <w:p w14:paraId="73DA35D0" w14:textId="444C2D0D" w:rsidR="007219A8" w:rsidRDefault="00006B74" w:rsidP="00D04537">
      <w:pPr>
        <w:spacing w:after="0"/>
        <w:jc w:val="center"/>
        <w:rPr>
          <w:rFonts w:ascii="Calibri" w:hAnsi="Calibri"/>
          <w:b/>
          <w:bCs/>
          <w:sz w:val="24"/>
        </w:rPr>
      </w:pPr>
      <w:r w:rsidRPr="00006B74">
        <w:rPr>
          <w:rFonts w:ascii="Calibri" w:hAnsi="Calibri"/>
          <w:b/>
          <w:bCs/>
          <w:sz w:val="24"/>
        </w:rPr>
        <w:lastRenderedPageBreak/>
        <w:t>Taft College Integrated Planning Model, 2024</w:t>
      </w:r>
    </w:p>
    <w:p w14:paraId="73F67F09" w14:textId="2ACE2743" w:rsidR="00D04537" w:rsidRDefault="007219A8" w:rsidP="00D04537">
      <w:pPr>
        <w:spacing w:after="0"/>
        <w:jc w:val="center"/>
        <w:rPr>
          <w:rFonts w:ascii="Calibri" w:hAnsi="Calibri"/>
        </w:rPr>
      </w:pPr>
      <w:r w:rsidRPr="007219A8">
        <w:rPr>
          <w:rFonts w:ascii="Calibri" w:hAnsi="Calibri"/>
          <w:noProof/>
        </w:rPr>
        <w:drawing>
          <wp:inline distT="0" distB="0" distL="0" distR="0" wp14:anchorId="2F6206DD" wp14:editId="05C2DE55">
            <wp:extent cx="5344271" cy="6239746"/>
            <wp:effectExtent l="0" t="0" r="8890" b="8890"/>
            <wp:docPr id="1924767120" name="Picture 1" descr="A diagram of a mission stat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67120" name="Picture 1" descr="A diagram of a mission statement&#10;&#10;AI-generated content may be incorrect."/>
                    <pic:cNvPicPr/>
                  </pic:nvPicPr>
                  <pic:blipFill>
                    <a:blip r:embed="rId24"/>
                    <a:stretch>
                      <a:fillRect/>
                    </a:stretch>
                  </pic:blipFill>
                  <pic:spPr>
                    <a:xfrm>
                      <a:off x="0" y="0"/>
                      <a:ext cx="5344271" cy="6239746"/>
                    </a:xfrm>
                    <a:prstGeom prst="rect">
                      <a:avLst/>
                    </a:prstGeom>
                  </pic:spPr>
                </pic:pic>
              </a:graphicData>
            </a:graphic>
          </wp:inline>
        </w:drawing>
      </w:r>
      <w:r w:rsidRPr="007219A8">
        <w:rPr>
          <w:rFonts w:ascii="Calibri" w:hAnsi="Calibri"/>
        </w:rPr>
        <w:t xml:space="preserve"> </w:t>
      </w:r>
    </w:p>
    <w:p w14:paraId="704866D8" w14:textId="62245671" w:rsidR="00DA7A92" w:rsidRPr="00635A4C" w:rsidRDefault="00DA7A92" w:rsidP="00635A4C">
      <w:pPr>
        <w:pStyle w:val="Heading2"/>
      </w:pPr>
      <w:bookmarkStart w:id="80" w:name="_Toc167728368"/>
      <w:bookmarkStart w:id="81" w:name="_Toc194931243"/>
      <w:bookmarkStart w:id="82" w:name="_Toc194931568"/>
      <w:r w:rsidRPr="00635A4C">
        <w:t>Program Review Process</w:t>
      </w:r>
      <w:bookmarkEnd w:id="80"/>
      <w:bookmarkEnd w:id="81"/>
      <w:bookmarkEnd w:id="82"/>
    </w:p>
    <w:p w14:paraId="5A38F9B1" w14:textId="5319C7F7" w:rsidR="0046386F" w:rsidRPr="001E65A4" w:rsidRDefault="0046386F" w:rsidP="0046386F">
      <w:pPr>
        <w:rPr>
          <w:rFonts w:ascii="Calibri" w:hAnsi="Calibri" w:cs="Calibri"/>
        </w:rPr>
      </w:pPr>
      <w:r w:rsidRPr="001E65A4">
        <w:rPr>
          <w:rFonts w:ascii="Calibri" w:hAnsi="Calibri" w:cs="Calibri"/>
        </w:rPr>
        <w:t>At Taft College, program review play</w:t>
      </w:r>
      <w:r>
        <w:rPr>
          <w:rFonts w:ascii="Calibri" w:hAnsi="Calibri" w:cs="Calibri"/>
        </w:rPr>
        <w:t>s</w:t>
      </w:r>
      <w:r w:rsidRPr="001E65A4">
        <w:rPr>
          <w:rFonts w:ascii="Calibri" w:hAnsi="Calibri" w:cs="Calibri"/>
        </w:rPr>
        <w:t xml:space="preserve"> an integral role in strategic planning, directly linking to budgeting and resource allocation. </w:t>
      </w:r>
      <w:hyperlink r:id="rId25" w:history="1">
        <w:r w:rsidRPr="001E65A4">
          <w:rPr>
            <w:rStyle w:val="Hyperlink"/>
            <w:rFonts w:ascii="Calibri" w:hAnsi="Calibri" w:cs="Calibri"/>
          </w:rPr>
          <w:t>Program Review</w:t>
        </w:r>
      </w:hyperlink>
      <w:r w:rsidRPr="001E65A4">
        <w:rPr>
          <w:rFonts w:ascii="Calibri" w:hAnsi="Calibri" w:cs="Calibri"/>
        </w:rPr>
        <w:t xml:space="preserve"> (PR) is a systematic process in which campus programs and departments evaluate their achievements and challenges, aiming to identify strategies to enhance goal achievement. This comprehensive review applies to all programs</w:t>
      </w:r>
      <w:r w:rsidR="0001375B">
        <w:rPr>
          <w:rFonts w:ascii="Calibri" w:hAnsi="Calibri" w:cs="Calibri"/>
        </w:rPr>
        <w:t xml:space="preserve"> </w:t>
      </w:r>
      <w:r w:rsidRPr="001E65A4">
        <w:rPr>
          <w:rFonts w:ascii="Calibri" w:hAnsi="Calibri" w:cs="Calibri"/>
        </w:rPr>
        <w:t>—</w:t>
      </w:r>
      <w:r w:rsidR="0001375B">
        <w:rPr>
          <w:rFonts w:ascii="Calibri" w:hAnsi="Calibri" w:cs="Calibri"/>
        </w:rPr>
        <w:t xml:space="preserve"> </w:t>
      </w:r>
      <w:r w:rsidRPr="001E65A4">
        <w:rPr>
          <w:rFonts w:ascii="Calibri" w:hAnsi="Calibri" w:cs="Calibri"/>
        </w:rPr>
        <w:t>whether instructional, support-focused, or a blend of both</w:t>
      </w:r>
      <w:r w:rsidR="0001375B">
        <w:rPr>
          <w:rFonts w:ascii="Calibri" w:hAnsi="Calibri" w:cs="Calibri"/>
        </w:rPr>
        <w:t xml:space="preserve"> </w:t>
      </w:r>
      <w:r w:rsidRPr="001E65A4">
        <w:rPr>
          <w:rFonts w:ascii="Calibri" w:hAnsi="Calibri" w:cs="Calibri"/>
        </w:rPr>
        <w:t xml:space="preserve">—assessing their effectiveness in meeting college standards and advancing the </w:t>
      </w:r>
      <w:r>
        <w:rPr>
          <w:rFonts w:ascii="Calibri" w:hAnsi="Calibri" w:cs="Calibri"/>
        </w:rPr>
        <w:t>College</w:t>
      </w:r>
      <w:r w:rsidRPr="001E65A4">
        <w:rPr>
          <w:rFonts w:ascii="Calibri" w:hAnsi="Calibri" w:cs="Calibri"/>
        </w:rPr>
        <w:t>’s mission.</w:t>
      </w:r>
    </w:p>
    <w:p w14:paraId="56CFE27A" w14:textId="2E83989E" w:rsidR="0046386F" w:rsidRPr="001E65A4" w:rsidRDefault="0046386F" w:rsidP="0046386F">
      <w:pPr>
        <w:rPr>
          <w:rFonts w:ascii="Calibri" w:hAnsi="Calibri" w:cs="Calibri"/>
        </w:rPr>
      </w:pPr>
      <w:r w:rsidRPr="001E65A4">
        <w:rPr>
          <w:rFonts w:ascii="Calibri" w:hAnsi="Calibri" w:cs="Calibri"/>
        </w:rPr>
        <w:t>Program review documents and facilitates meaningful discussions and planning around improving student success and program effectiveness, ensuring that these insights are shared with the college community. Additionally, resource allocation decisions</w:t>
      </w:r>
      <w:r w:rsidR="007418C8">
        <w:rPr>
          <w:rFonts w:ascii="Calibri" w:hAnsi="Calibri" w:cs="Calibri"/>
        </w:rPr>
        <w:t xml:space="preserve"> are aligned with program goals</w:t>
      </w:r>
      <w:r w:rsidRPr="001E65A4">
        <w:rPr>
          <w:rFonts w:ascii="Calibri" w:hAnsi="Calibri" w:cs="Calibri"/>
        </w:rPr>
        <w:t>, assessing the impact of these resources on overall effectiveness.</w:t>
      </w:r>
    </w:p>
    <w:p w14:paraId="0CDCB57C" w14:textId="47AD2F81" w:rsidR="00F1120A" w:rsidRPr="007C654F" w:rsidRDefault="0046386F" w:rsidP="007C654F">
      <w:r>
        <w:lastRenderedPageBreak/>
        <w:t xml:space="preserve">Beginning in 2022-2023, the College adopted a </w:t>
      </w:r>
      <w:r w:rsidR="007418C8">
        <w:t xml:space="preserve">new </w:t>
      </w:r>
      <w:r>
        <w:t>three-year cycle comprehensive program review</w:t>
      </w:r>
      <w:r w:rsidR="007418C8">
        <w:t xml:space="preserve"> process with annual updates to improve efficiency and better support strategic decision making</w:t>
      </w:r>
      <w:r>
        <w:t xml:space="preserve">. Tailored templates and customized datasets are provided for instructional and non-instructional programs, ensuring relevance to each area’s unique needs. </w:t>
      </w:r>
      <w:r w:rsidR="007418C8">
        <w:t xml:space="preserve">Resource requests are also included in the process to support the alignment of the budget allocation process. </w:t>
      </w:r>
      <w:r>
        <w:t xml:space="preserve">Additionally, the Office of Institutional Research </w:t>
      </w:r>
      <w:r w:rsidR="007418C8">
        <w:t>and</w:t>
      </w:r>
      <w:r>
        <w:t xml:space="preserve"> Planning meets regularly with each program to provide guidance and support throughout the review process</w:t>
      </w:r>
      <w:r w:rsidR="007418C8">
        <w:t>, and user feedback</w:t>
      </w:r>
      <w:r w:rsidR="007C654F">
        <w:t xml:space="preserve"> serves to continuously improve the templates and process. </w:t>
      </w:r>
      <w:r w:rsidR="00D04537">
        <w:rPr>
          <w:rFonts w:ascii="Calibri" w:hAnsi="Calibri" w:cs="Calibri"/>
        </w:rPr>
        <w:t xml:space="preserve">The </w:t>
      </w:r>
      <w:r w:rsidR="007C654F">
        <w:rPr>
          <w:rFonts w:ascii="Calibri" w:hAnsi="Calibri" w:cs="Calibri"/>
        </w:rPr>
        <w:t xml:space="preserve">Taft College </w:t>
      </w:r>
      <w:r w:rsidR="00D04537">
        <w:rPr>
          <w:rFonts w:ascii="Calibri" w:hAnsi="Calibri" w:cs="Calibri"/>
        </w:rPr>
        <w:t xml:space="preserve">Program Review </w:t>
      </w:r>
      <w:r w:rsidR="007C654F">
        <w:rPr>
          <w:rFonts w:ascii="Calibri" w:hAnsi="Calibri" w:cs="Calibri"/>
        </w:rPr>
        <w:t>P</w:t>
      </w:r>
      <w:r w:rsidR="00D04537">
        <w:rPr>
          <w:rFonts w:ascii="Calibri" w:hAnsi="Calibri" w:cs="Calibri"/>
        </w:rPr>
        <w:t xml:space="preserve">lanning </w:t>
      </w:r>
      <w:r w:rsidR="007C654F">
        <w:rPr>
          <w:rFonts w:ascii="Calibri" w:hAnsi="Calibri" w:cs="Calibri"/>
        </w:rPr>
        <w:t>C</w:t>
      </w:r>
      <w:r w:rsidR="00D04537">
        <w:rPr>
          <w:rFonts w:ascii="Calibri" w:hAnsi="Calibri" w:cs="Calibri"/>
        </w:rPr>
        <w:t>ycle is displayed in the infographic that follows.</w:t>
      </w:r>
    </w:p>
    <w:p w14:paraId="6FE80475" w14:textId="37F17810" w:rsidR="00D04537" w:rsidRDefault="00F1120A" w:rsidP="00F1120A">
      <w:pPr>
        <w:jc w:val="center"/>
        <w:rPr>
          <w:rFonts w:ascii="Calibri" w:hAnsi="Calibri" w:cs="Calibri"/>
        </w:rPr>
      </w:pPr>
      <w:r w:rsidRPr="00D04537">
        <w:rPr>
          <w:rFonts w:ascii="Calibri" w:hAnsi="Calibri" w:cs="Calibri"/>
          <w:b/>
          <w:bCs/>
          <w:sz w:val="24"/>
        </w:rPr>
        <w:t>Taft College Program Review Planning Cycle</w:t>
      </w:r>
    </w:p>
    <w:p w14:paraId="2A1D0F65" w14:textId="1FAC251D" w:rsidR="00E959A2" w:rsidRDefault="004D7B91">
      <w:pPr>
        <w:spacing w:after="0"/>
        <w:rPr>
          <w:rFonts w:ascii="Calibri" w:hAnsi="Calibri" w:cs="Calibri"/>
        </w:rPr>
      </w:pPr>
      <w:r w:rsidRPr="003D7360">
        <w:rPr>
          <w:noProof/>
        </w:rPr>
        <w:drawing>
          <wp:anchor distT="0" distB="0" distL="114300" distR="114300" simplePos="0" relativeHeight="251697152" behindDoc="1" locked="0" layoutInCell="1" allowOverlap="1" wp14:anchorId="2A187BBD" wp14:editId="084FCFF7">
            <wp:simplePos x="0" y="0"/>
            <wp:positionH relativeFrom="column">
              <wp:posOffset>0</wp:posOffset>
            </wp:positionH>
            <wp:positionV relativeFrom="paragraph">
              <wp:posOffset>-635</wp:posOffset>
            </wp:positionV>
            <wp:extent cx="6286500" cy="4876800"/>
            <wp:effectExtent l="0" t="0" r="0" b="0"/>
            <wp:wrapNone/>
            <wp:docPr id="1437107133" name="Picture 1437107133"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00592" name="Picture 1186500592" descr="A diagram of a process&#10;&#10;Description automatically generated"/>
                    <pic:cNvPicPr>
                      <a:picLocks noChangeAspect="1" noChangeArrowheads="1"/>
                    </pic:cNvPicPr>
                  </pic:nvPicPr>
                  <pic:blipFill>
                    <a:blip r:embed="rId26"/>
                    <a:stretch>
                      <a:fillRect/>
                    </a:stretch>
                  </pic:blipFill>
                  <pic:spPr bwMode="auto">
                    <a:xfrm>
                      <a:off x="0" y="0"/>
                      <a:ext cx="6290367" cy="487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9A2">
        <w:rPr>
          <w:rFonts w:ascii="Calibri" w:hAnsi="Calibri" w:cs="Calibri"/>
        </w:rPr>
        <w:br w:type="page"/>
      </w:r>
    </w:p>
    <w:p w14:paraId="4FFEBA0E" w14:textId="050362D1" w:rsidR="00DA7A92" w:rsidRPr="000079B4" w:rsidRDefault="00DA7A92" w:rsidP="00DA7A92">
      <w:pPr>
        <w:rPr>
          <w:rFonts w:ascii="Calibri" w:hAnsi="Calibri" w:cs="Calibri"/>
          <w:sz w:val="24"/>
        </w:rPr>
      </w:pPr>
    </w:p>
    <w:p w14:paraId="7A348EE3" w14:textId="1E611B3F" w:rsidR="00DA7A92" w:rsidRDefault="00DA7A92" w:rsidP="00DA7A92">
      <w:pPr>
        <w:rPr>
          <w:rFonts w:ascii="Calibri" w:hAnsi="Calibri" w:cs="Calibri"/>
          <w:szCs w:val="22"/>
        </w:rPr>
      </w:pPr>
      <w:r w:rsidRPr="00F1120A">
        <w:rPr>
          <w:rFonts w:ascii="Calibri" w:hAnsi="Calibri" w:cs="Calibri"/>
          <w:szCs w:val="22"/>
        </w:rPr>
        <w:t xml:space="preserve">Additional information regarding the </w:t>
      </w:r>
      <w:r w:rsidR="00F1120A">
        <w:rPr>
          <w:rFonts w:ascii="Calibri" w:hAnsi="Calibri" w:cs="Calibri"/>
          <w:szCs w:val="22"/>
        </w:rPr>
        <w:t xml:space="preserve">Three-Year Comprehensive </w:t>
      </w:r>
      <w:r w:rsidRPr="00F1120A">
        <w:rPr>
          <w:rFonts w:ascii="Calibri" w:hAnsi="Calibri" w:cs="Calibri"/>
          <w:szCs w:val="22"/>
        </w:rPr>
        <w:t xml:space="preserve">Program Review process and timeline follows. </w:t>
      </w:r>
    </w:p>
    <w:tbl>
      <w:tblPr>
        <w:tblStyle w:val="TableGrid"/>
        <w:tblW w:w="0" w:type="auto"/>
        <w:tblLook w:val="04A0" w:firstRow="1" w:lastRow="0" w:firstColumn="1" w:lastColumn="0" w:noHBand="0" w:noVBand="1"/>
      </w:tblPr>
      <w:tblGrid>
        <w:gridCol w:w="2662"/>
        <w:gridCol w:w="7408"/>
      </w:tblGrid>
      <w:tr w:rsidR="00F1120A" w:rsidRPr="0008025A" w14:paraId="7BA08722" w14:textId="77777777" w:rsidTr="005A0196">
        <w:trPr>
          <w:trHeight w:val="368"/>
        </w:trPr>
        <w:tc>
          <w:tcPr>
            <w:tcW w:w="2695" w:type="dxa"/>
          </w:tcPr>
          <w:p w14:paraId="6718082B" w14:textId="33010912" w:rsidR="00F1120A" w:rsidRPr="0008025A" w:rsidRDefault="00F1120A" w:rsidP="005A0196">
            <w:pPr>
              <w:rPr>
                <w:rFonts w:cstheme="minorHAnsi"/>
                <w:szCs w:val="22"/>
              </w:rPr>
            </w:pPr>
            <w:r w:rsidRPr="0008025A">
              <w:rPr>
                <w:rFonts w:cstheme="minorHAnsi"/>
                <w:szCs w:val="22"/>
              </w:rPr>
              <w:t>Timeline –</w:t>
            </w:r>
            <w:r>
              <w:rPr>
                <w:rFonts w:cstheme="minorHAnsi"/>
                <w:szCs w:val="22"/>
              </w:rPr>
              <w:t xml:space="preserve"> </w:t>
            </w:r>
            <w:r w:rsidRPr="0008025A">
              <w:rPr>
                <w:rFonts w:cstheme="minorHAnsi"/>
                <w:szCs w:val="22"/>
              </w:rPr>
              <w:t>Annual Updates and Comprehensive 3-Year</w:t>
            </w:r>
          </w:p>
        </w:tc>
        <w:tc>
          <w:tcPr>
            <w:tcW w:w="7560" w:type="dxa"/>
          </w:tcPr>
          <w:p w14:paraId="1FFE58C7" w14:textId="77777777" w:rsidR="00F1120A" w:rsidRPr="0008025A" w:rsidRDefault="00F1120A" w:rsidP="005A0196">
            <w:pPr>
              <w:rPr>
                <w:rFonts w:cstheme="minorHAnsi"/>
                <w:szCs w:val="22"/>
              </w:rPr>
            </w:pPr>
            <w:r w:rsidRPr="0008025A">
              <w:rPr>
                <w:rFonts w:cstheme="minorHAnsi"/>
                <w:szCs w:val="22"/>
              </w:rPr>
              <w:t>Action – Current</w:t>
            </w:r>
          </w:p>
        </w:tc>
      </w:tr>
      <w:tr w:rsidR="00F1120A" w:rsidRPr="0008025A" w14:paraId="2436A1AB" w14:textId="77777777" w:rsidTr="005A0196">
        <w:trPr>
          <w:trHeight w:val="800"/>
        </w:trPr>
        <w:tc>
          <w:tcPr>
            <w:tcW w:w="2695" w:type="dxa"/>
          </w:tcPr>
          <w:p w14:paraId="586D1012" w14:textId="77777777" w:rsidR="00F1120A" w:rsidRPr="0008025A" w:rsidRDefault="00F1120A" w:rsidP="005A0196">
            <w:pPr>
              <w:rPr>
                <w:rFonts w:cstheme="minorHAnsi"/>
                <w:szCs w:val="22"/>
              </w:rPr>
            </w:pPr>
            <w:r w:rsidRPr="0008025A">
              <w:rPr>
                <w:rFonts w:cstheme="minorHAnsi"/>
                <w:szCs w:val="22"/>
              </w:rPr>
              <w:t>August</w:t>
            </w:r>
          </w:p>
        </w:tc>
        <w:tc>
          <w:tcPr>
            <w:tcW w:w="7560" w:type="dxa"/>
          </w:tcPr>
          <w:p w14:paraId="6B0E71F5" w14:textId="77777777" w:rsidR="00F1120A" w:rsidRPr="0008025A" w:rsidRDefault="00F1120A" w:rsidP="005A0196">
            <w:pPr>
              <w:rPr>
                <w:rFonts w:cstheme="minorHAnsi"/>
                <w:szCs w:val="22"/>
              </w:rPr>
            </w:pPr>
            <w:r w:rsidRPr="0008025A">
              <w:rPr>
                <w:rFonts w:cstheme="minorHAnsi"/>
                <w:szCs w:val="22"/>
              </w:rPr>
              <w:t>IR – program review website updated with current cycle documents and data</w:t>
            </w:r>
            <w:r w:rsidRPr="0008025A">
              <w:rPr>
                <w:rFonts w:cstheme="minorHAnsi"/>
                <w:szCs w:val="22"/>
              </w:rPr>
              <w:br/>
              <w:t>Program Review Overview during in-service</w:t>
            </w:r>
            <w:r w:rsidRPr="0008025A">
              <w:rPr>
                <w:rFonts w:cstheme="minorHAnsi"/>
                <w:szCs w:val="22"/>
              </w:rPr>
              <w:br/>
              <w:t>Programs begin updating/drafting reports and goal forms</w:t>
            </w:r>
          </w:p>
        </w:tc>
      </w:tr>
      <w:tr w:rsidR="00F1120A" w:rsidRPr="0008025A" w14:paraId="7457DEF0" w14:textId="77777777" w:rsidTr="005A0196">
        <w:trPr>
          <w:trHeight w:val="710"/>
        </w:trPr>
        <w:tc>
          <w:tcPr>
            <w:tcW w:w="2695" w:type="dxa"/>
          </w:tcPr>
          <w:p w14:paraId="5EE4D2B1" w14:textId="77777777" w:rsidR="00F1120A" w:rsidRPr="0008025A" w:rsidRDefault="00F1120A" w:rsidP="005A0196">
            <w:pPr>
              <w:rPr>
                <w:rFonts w:cstheme="minorHAnsi"/>
                <w:szCs w:val="22"/>
              </w:rPr>
            </w:pPr>
            <w:r w:rsidRPr="0008025A">
              <w:rPr>
                <w:rFonts w:cstheme="minorHAnsi"/>
                <w:szCs w:val="22"/>
              </w:rPr>
              <w:t xml:space="preserve">August – January </w:t>
            </w:r>
          </w:p>
        </w:tc>
        <w:tc>
          <w:tcPr>
            <w:tcW w:w="7560" w:type="dxa"/>
          </w:tcPr>
          <w:p w14:paraId="0B73CBA3" w14:textId="77777777" w:rsidR="00F1120A" w:rsidRPr="0008025A" w:rsidRDefault="00F1120A" w:rsidP="005A0196">
            <w:pPr>
              <w:rPr>
                <w:rFonts w:cstheme="minorHAnsi"/>
                <w:b/>
                <w:bCs/>
                <w:szCs w:val="22"/>
              </w:rPr>
            </w:pPr>
            <w:r w:rsidRPr="0008025A">
              <w:rPr>
                <w:rFonts w:cstheme="minorHAnsi"/>
                <w:szCs w:val="22"/>
              </w:rPr>
              <w:t>Program contacts – guide program review analysis and writing process; submit Program Review Reports, and Program Goals; submit evaluation of the program review process</w:t>
            </w:r>
          </w:p>
        </w:tc>
      </w:tr>
      <w:tr w:rsidR="00F1120A" w:rsidRPr="0008025A" w14:paraId="424B6ACE" w14:textId="77777777" w:rsidTr="005A0196">
        <w:trPr>
          <w:trHeight w:val="710"/>
        </w:trPr>
        <w:tc>
          <w:tcPr>
            <w:tcW w:w="2695" w:type="dxa"/>
          </w:tcPr>
          <w:p w14:paraId="6A109C43" w14:textId="77777777" w:rsidR="00F1120A" w:rsidRPr="0008025A" w:rsidRDefault="00F1120A" w:rsidP="005A0196">
            <w:pPr>
              <w:rPr>
                <w:rFonts w:cstheme="minorHAnsi"/>
                <w:szCs w:val="22"/>
              </w:rPr>
            </w:pPr>
            <w:r>
              <w:rPr>
                <w:rFonts w:cstheme="minorHAnsi"/>
                <w:szCs w:val="22"/>
              </w:rPr>
              <w:t>February</w:t>
            </w:r>
          </w:p>
        </w:tc>
        <w:tc>
          <w:tcPr>
            <w:tcW w:w="7560" w:type="dxa"/>
          </w:tcPr>
          <w:p w14:paraId="1A47B8F1" w14:textId="6DE50AAB" w:rsidR="00F1120A" w:rsidRDefault="00F1120A" w:rsidP="005A0196">
            <w:pPr>
              <w:rPr>
                <w:rFonts w:cstheme="minorHAnsi"/>
                <w:szCs w:val="22"/>
              </w:rPr>
            </w:pPr>
            <w:r>
              <w:rPr>
                <w:rFonts w:cstheme="minorHAnsi"/>
                <w:szCs w:val="22"/>
              </w:rPr>
              <w:t xml:space="preserve">Budget Committee </w:t>
            </w:r>
            <w:proofErr w:type="gramStart"/>
            <w:r>
              <w:rPr>
                <w:rFonts w:cstheme="minorHAnsi"/>
                <w:szCs w:val="22"/>
              </w:rPr>
              <w:t>review</w:t>
            </w:r>
            <w:proofErr w:type="gramEnd"/>
            <w:r>
              <w:rPr>
                <w:rFonts w:cstheme="minorHAnsi"/>
                <w:szCs w:val="22"/>
              </w:rPr>
              <w:t xml:space="preserve"> potential funding sources for non</w:t>
            </w:r>
            <w:r w:rsidR="00AC2E6D">
              <w:rPr>
                <w:rFonts w:cstheme="minorHAnsi"/>
                <w:szCs w:val="22"/>
              </w:rPr>
              <w:t>-</w:t>
            </w:r>
            <w:r>
              <w:rPr>
                <w:rFonts w:cstheme="minorHAnsi"/>
                <w:szCs w:val="22"/>
              </w:rPr>
              <w:t>person</w:t>
            </w:r>
            <w:r w:rsidR="00AC2E6D">
              <w:rPr>
                <w:rFonts w:cstheme="minorHAnsi"/>
                <w:szCs w:val="22"/>
              </w:rPr>
              <w:t>ne</w:t>
            </w:r>
            <w:r>
              <w:rPr>
                <w:rFonts w:cstheme="minorHAnsi"/>
                <w:szCs w:val="22"/>
              </w:rPr>
              <w:t>l resource allocation</w:t>
            </w:r>
          </w:p>
          <w:p w14:paraId="4C8EC007" w14:textId="77777777" w:rsidR="00F1120A" w:rsidRDefault="00F1120A" w:rsidP="005A0196">
            <w:pPr>
              <w:rPr>
                <w:rFonts w:cstheme="minorHAnsi"/>
                <w:szCs w:val="22"/>
              </w:rPr>
            </w:pPr>
            <w:r>
              <w:rPr>
                <w:rFonts w:cstheme="minorHAnsi"/>
                <w:szCs w:val="22"/>
              </w:rPr>
              <w:t>SPC (Strategic Planning Committee) review the comprehensive program review reports and provide feedback</w:t>
            </w:r>
          </w:p>
          <w:p w14:paraId="1B69BB84" w14:textId="77777777" w:rsidR="00F1120A" w:rsidRPr="0008025A" w:rsidRDefault="00F1120A" w:rsidP="005A0196">
            <w:pPr>
              <w:rPr>
                <w:rFonts w:cstheme="minorHAnsi"/>
                <w:szCs w:val="22"/>
              </w:rPr>
            </w:pPr>
            <w:r>
              <w:rPr>
                <w:rFonts w:cstheme="minorHAnsi"/>
                <w:szCs w:val="22"/>
              </w:rPr>
              <w:t>IR – compile program review goals, and distribute prioritization worksheet to GC members</w:t>
            </w:r>
          </w:p>
        </w:tc>
      </w:tr>
      <w:tr w:rsidR="00F1120A" w:rsidRPr="0008025A" w14:paraId="0D9CA95A" w14:textId="77777777" w:rsidTr="005A0196">
        <w:trPr>
          <w:trHeight w:val="710"/>
        </w:trPr>
        <w:tc>
          <w:tcPr>
            <w:tcW w:w="2695" w:type="dxa"/>
          </w:tcPr>
          <w:p w14:paraId="624D2EFC" w14:textId="77777777" w:rsidR="00F1120A" w:rsidRDefault="00F1120A" w:rsidP="005A0196">
            <w:pPr>
              <w:rPr>
                <w:rFonts w:cstheme="minorHAnsi"/>
                <w:szCs w:val="22"/>
              </w:rPr>
            </w:pPr>
            <w:r>
              <w:rPr>
                <w:rFonts w:cstheme="minorHAnsi"/>
                <w:szCs w:val="22"/>
              </w:rPr>
              <w:t>March</w:t>
            </w:r>
          </w:p>
        </w:tc>
        <w:tc>
          <w:tcPr>
            <w:tcW w:w="7560" w:type="dxa"/>
          </w:tcPr>
          <w:p w14:paraId="461064B2" w14:textId="77777777" w:rsidR="00F1120A" w:rsidRDefault="00F1120A" w:rsidP="005A0196">
            <w:pPr>
              <w:rPr>
                <w:rFonts w:cstheme="minorHAnsi"/>
                <w:szCs w:val="22"/>
              </w:rPr>
            </w:pPr>
            <w:r>
              <w:rPr>
                <w:rFonts w:cstheme="minorHAnsi"/>
                <w:szCs w:val="22"/>
              </w:rPr>
              <w:t>GC – Review &amp; Rank non-personnel goals</w:t>
            </w:r>
          </w:p>
          <w:p w14:paraId="7DF3D0C2" w14:textId="77777777" w:rsidR="00F1120A" w:rsidRDefault="00F1120A" w:rsidP="005A0196">
            <w:pPr>
              <w:rPr>
                <w:rFonts w:cstheme="minorHAnsi"/>
                <w:szCs w:val="22"/>
              </w:rPr>
            </w:pPr>
            <w:r>
              <w:rPr>
                <w:rFonts w:cstheme="minorHAnsi"/>
                <w:szCs w:val="22"/>
              </w:rPr>
              <w:t>Classified Committee: Review &amp; Rank classified staff goals</w:t>
            </w:r>
          </w:p>
        </w:tc>
      </w:tr>
      <w:tr w:rsidR="00F1120A" w:rsidRPr="0008025A" w14:paraId="0D540099" w14:textId="77777777" w:rsidTr="005A0196">
        <w:trPr>
          <w:trHeight w:val="440"/>
        </w:trPr>
        <w:tc>
          <w:tcPr>
            <w:tcW w:w="2695" w:type="dxa"/>
          </w:tcPr>
          <w:p w14:paraId="4E19935F" w14:textId="77777777" w:rsidR="00F1120A" w:rsidRPr="0008025A" w:rsidRDefault="00F1120A" w:rsidP="005A0196">
            <w:pPr>
              <w:rPr>
                <w:rFonts w:cstheme="minorHAnsi"/>
                <w:szCs w:val="22"/>
              </w:rPr>
            </w:pPr>
            <w:r w:rsidRPr="0008025A">
              <w:rPr>
                <w:rFonts w:cstheme="minorHAnsi"/>
                <w:szCs w:val="22"/>
              </w:rPr>
              <w:t>May</w:t>
            </w:r>
          </w:p>
        </w:tc>
        <w:tc>
          <w:tcPr>
            <w:tcW w:w="7560" w:type="dxa"/>
          </w:tcPr>
          <w:p w14:paraId="46378DC3" w14:textId="77777777" w:rsidR="00F1120A" w:rsidRDefault="00F1120A" w:rsidP="005A0196">
            <w:pPr>
              <w:rPr>
                <w:rFonts w:cstheme="minorHAnsi"/>
                <w:szCs w:val="22"/>
              </w:rPr>
            </w:pPr>
            <w:r w:rsidRPr="0008025A">
              <w:rPr>
                <w:rFonts w:cstheme="minorHAnsi"/>
                <w:szCs w:val="22"/>
              </w:rPr>
              <w:t>GC – Review list of programs for accuracy in preparation for next Program Review cycle</w:t>
            </w:r>
          </w:p>
          <w:p w14:paraId="5C463B0B" w14:textId="77777777" w:rsidR="00F1120A" w:rsidRPr="0008025A" w:rsidRDefault="00F1120A" w:rsidP="005A0196">
            <w:pPr>
              <w:rPr>
                <w:rFonts w:cstheme="minorHAnsi"/>
                <w:bCs/>
                <w:szCs w:val="22"/>
              </w:rPr>
            </w:pPr>
            <w:r>
              <w:rPr>
                <w:rFonts w:cstheme="minorHAnsi"/>
                <w:bCs/>
                <w:szCs w:val="22"/>
              </w:rPr>
              <w:t>Superintendent/president receives final rankings of program review goals</w:t>
            </w:r>
          </w:p>
        </w:tc>
      </w:tr>
      <w:tr w:rsidR="00F1120A" w:rsidRPr="0008025A" w14:paraId="3F99C7DC" w14:textId="77777777" w:rsidTr="005A0196">
        <w:trPr>
          <w:trHeight w:val="620"/>
        </w:trPr>
        <w:tc>
          <w:tcPr>
            <w:tcW w:w="2695" w:type="dxa"/>
          </w:tcPr>
          <w:p w14:paraId="6AA79AC3" w14:textId="77777777" w:rsidR="00F1120A" w:rsidRPr="0008025A" w:rsidRDefault="00F1120A" w:rsidP="005A0196">
            <w:pPr>
              <w:rPr>
                <w:rFonts w:cstheme="minorHAnsi"/>
                <w:szCs w:val="22"/>
              </w:rPr>
            </w:pPr>
            <w:r w:rsidRPr="0008025A">
              <w:rPr>
                <w:rFonts w:cstheme="minorHAnsi"/>
                <w:szCs w:val="22"/>
              </w:rPr>
              <w:t>April - July</w:t>
            </w:r>
          </w:p>
        </w:tc>
        <w:tc>
          <w:tcPr>
            <w:tcW w:w="7560" w:type="dxa"/>
          </w:tcPr>
          <w:p w14:paraId="3AE918FC" w14:textId="77777777" w:rsidR="00F1120A" w:rsidRPr="0008025A" w:rsidRDefault="00F1120A" w:rsidP="005A0196">
            <w:pPr>
              <w:rPr>
                <w:rFonts w:cstheme="minorHAnsi"/>
                <w:bCs/>
                <w:szCs w:val="22"/>
              </w:rPr>
            </w:pPr>
            <w:r w:rsidRPr="0008025A">
              <w:rPr>
                <w:rFonts w:cstheme="minorHAnsi"/>
                <w:bCs/>
                <w:szCs w:val="22"/>
              </w:rPr>
              <w:t xml:space="preserve">IR – edits </w:t>
            </w:r>
            <w:r>
              <w:rPr>
                <w:rFonts w:cstheme="minorHAnsi"/>
                <w:bCs/>
                <w:szCs w:val="22"/>
              </w:rPr>
              <w:t xml:space="preserve">based on the feedback </w:t>
            </w:r>
            <w:r w:rsidRPr="0008025A">
              <w:rPr>
                <w:rFonts w:cstheme="minorHAnsi"/>
                <w:bCs/>
                <w:szCs w:val="22"/>
              </w:rPr>
              <w:t>and posts program reviews on IR website</w:t>
            </w:r>
          </w:p>
          <w:p w14:paraId="1B7055D7" w14:textId="77777777" w:rsidR="00F1120A" w:rsidRPr="0008025A" w:rsidRDefault="00F1120A" w:rsidP="005A0196">
            <w:pPr>
              <w:rPr>
                <w:rFonts w:cstheme="minorHAnsi"/>
                <w:bCs/>
                <w:szCs w:val="22"/>
              </w:rPr>
            </w:pPr>
            <w:r w:rsidRPr="0008025A">
              <w:rPr>
                <w:rFonts w:cstheme="minorHAnsi"/>
                <w:bCs/>
                <w:szCs w:val="22"/>
              </w:rPr>
              <w:t>goals and sends to appropriate committees: GC, AC, Budget Committee, CSEA</w:t>
            </w:r>
          </w:p>
        </w:tc>
      </w:tr>
    </w:tbl>
    <w:p w14:paraId="4D5A9892" w14:textId="49C5C0E5" w:rsidR="00DA7A92" w:rsidRPr="000079B4" w:rsidRDefault="00DA7A92" w:rsidP="00F1120A">
      <w:pPr>
        <w:rPr>
          <w:rFonts w:ascii="Calibri" w:hAnsi="Calibri" w:cs="Calibri"/>
        </w:rPr>
      </w:pPr>
    </w:p>
    <w:p w14:paraId="279BE77E" w14:textId="77777777" w:rsidR="00DA7A92" w:rsidRPr="000079B4" w:rsidRDefault="00DA7A92" w:rsidP="00DA7A92">
      <w:pPr>
        <w:rPr>
          <w:rFonts w:ascii="Calibri" w:hAnsi="Calibri" w:cs="Calibri"/>
        </w:rPr>
      </w:pPr>
      <w:r w:rsidRPr="000079B4">
        <w:rPr>
          <w:rFonts w:ascii="Calibri" w:hAnsi="Calibri" w:cs="Calibri"/>
        </w:rPr>
        <w:t>To enhance the Program Review process, Taft College could explore additional strategies to further facilitate data-informed decision-making for the institution. These strategies may include:</w:t>
      </w:r>
    </w:p>
    <w:p w14:paraId="230C8712" w14:textId="77777777" w:rsidR="00DA7A92" w:rsidRPr="000079B4" w:rsidRDefault="00DA7A92" w:rsidP="005761F9">
      <w:pPr>
        <w:numPr>
          <w:ilvl w:val="0"/>
          <w:numId w:val="27"/>
        </w:numPr>
        <w:contextualSpacing/>
        <w:rPr>
          <w:rFonts w:ascii="Calibri" w:hAnsi="Calibri" w:cs="Calibri"/>
        </w:rPr>
      </w:pPr>
      <w:r w:rsidRPr="000079B4">
        <w:rPr>
          <w:rFonts w:ascii="Calibri" w:hAnsi="Calibri" w:cs="Calibri"/>
        </w:rPr>
        <w:t>Providing detailed disaggregated data (e.g., course success, completion, etc.) at the individual course level to identify any disproportionate impact on specific students.</w:t>
      </w:r>
    </w:p>
    <w:p w14:paraId="32A67D28" w14:textId="77777777" w:rsidR="00DA7A92" w:rsidRPr="000079B4" w:rsidRDefault="00DA7A92" w:rsidP="005761F9">
      <w:pPr>
        <w:numPr>
          <w:ilvl w:val="0"/>
          <w:numId w:val="27"/>
        </w:numPr>
        <w:contextualSpacing/>
        <w:rPr>
          <w:rFonts w:ascii="Calibri" w:hAnsi="Calibri" w:cs="Calibri"/>
        </w:rPr>
      </w:pPr>
      <w:r w:rsidRPr="000079B4">
        <w:rPr>
          <w:rFonts w:ascii="Calibri" w:hAnsi="Calibri" w:cs="Calibri"/>
        </w:rPr>
        <w:t>Integrating feedback and participation from CTE program Advisory Committees to ensure programs reflect current industry standards and expectations.</w:t>
      </w:r>
    </w:p>
    <w:p w14:paraId="381C232D" w14:textId="77777777" w:rsidR="00DA7A92" w:rsidRPr="000079B4" w:rsidRDefault="00DA7A92" w:rsidP="005761F9">
      <w:pPr>
        <w:numPr>
          <w:ilvl w:val="0"/>
          <w:numId w:val="27"/>
        </w:numPr>
        <w:contextualSpacing/>
        <w:rPr>
          <w:rFonts w:ascii="Calibri" w:hAnsi="Calibri" w:cs="Calibri"/>
        </w:rPr>
      </w:pPr>
      <w:r w:rsidRPr="000079B4">
        <w:rPr>
          <w:rFonts w:ascii="Calibri" w:hAnsi="Calibri" w:cs="Calibri"/>
        </w:rPr>
        <w:t>Developing mechanisms to address recommended improvement actions, including benchmarks, timelines, and anticipated outcomes.</w:t>
      </w:r>
    </w:p>
    <w:p w14:paraId="2A7E3F4E" w14:textId="77777777" w:rsidR="00DA7A92" w:rsidRPr="000079B4" w:rsidRDefault="00DA7A92" w:rsidP="005761F9">
      <w:pPr>
        <w:numPr>
          <w:ilvl w:val="0"/>
          <w:numId w:val="27"/>
        </w:numPr>
        <w:contextualSpacing/>
        <w:rPr>
          <w:rFonts w:ascii="Calibri" w:hAnsi="Calibri" w:cs="Calibri"/>
        </w:rPr>
      </w:pPr>
      <w:r w:rsidRPr="000079B4">
        <w:rPr>
          <w:rFonts w:ascii="Calibri" w:hAnsi="Calibri" w:cs="Calibri"/>
        </w:rPr>
        <w:t>Designing a comprehensive rubric for program assessment to evaluate program vitality and viability effectively.</w:t>
      </w:r>
    </w:p>
    <w:p w14:paraId="484F5187" w14:textId="77777777" w:rsidR="00DA7A92" w:rsidRPr="000079B4" w:rsidRDefault="00DA7A92" w:rsidP="005761F9">
      <w:pPr>
        <w:numPr>
          <w:ilvl w:val="0"/>
          <w:numId w:val="27"/>
        </w:numPr>
        <w:contextualSpacing/>
        <w:rPr>
          <w:rFonts w:ascii="Calibri" w:hAnsi="Calibri" w:cs="Calibri"/>
        </w:rPr>
      </w:pPr>
      <w:r w:rsidRPr="000079B4">
        <w:rPr>
          <w:rFonts w:ascii="Calibri" w:hAnsi="Calibri" w:cs="Calibri"/>
        </w:rPr>
        <w:t>Conducting long-term studies of degree and certificate completers to gain insights into program effectiveness and institutional offerings.</w:t>
      </w:r>
    </w:p>
    <w:p w14:paraId="25F778BE" w14:textId="77777777" w:rsidR="00DA7A92" w:rsidRPr="00635A4C" w:rsidRDefault="00DA7A92" w:rsidP="00635A4C">
      <w:pPr>
        <w:pStyle w:val="Heading2"/>
      </w:pPr>
      <w:bookmarkStart w:id="83" w:name="_Toc167728369"/>
      <w:bookmarkStart w:id="84" w:name="_Toc194931244"/>
      <w:bookmarkStart w:id="85" w:name="_Toc194931569"/>
      <w:r w:rsidRPr="00635A4C">
        <w:t>Student Equity Plan</w:t>
      </w:r>
      <w:bookmarkEnd w:id="83"/>
      <w:bookmarkEnd w:id="84"/>
      <w:bookmarkEnd w:id="85"/>
    </w:p>
    <w:p w14:paraId="21DFDC8E" w14:textId="77777777" w:rsidR="00DA7A92" w:rsidRPr="000079B4" w:rsidRDefault="00DA7A92" w:rsidP="00DA7A92">
      <w:pPr>
        <w:spacing w:after="0"/>
        <w:rPr>
          <w:rFonts w:ascii="Calibri" w:hAnsi="Calibri"/>
        </w:rPr>
      </w:pPr>
      <w:r w:rsidRPr="000079B4">
        <w:rPr>
          <w:rFonts w:ascii="Calibri" w:hAnsi="Calibri"/>
        </w:rPr>
        <w:t xml:space="preserve">The Taft College Student Equity Plan (SEP) is designed to advance the college’s mission of providing exceptional comprehensive educational programs and services that foster student learning and success in collaboration with our diverse communities. The primary goal is to provide diverse student groups with the tools and opportunities they need to accomplish their objectives, which is essential to Taft College’s mission. The Student Equity Plan supports basic skills completion, degree and certificate attainment, career and technical education, and transfer </w:t>
      </w:r>
      <w:r w:rsidRPr="000079B4">
        <w:rPr>
          <w:rFonts w:ascii="Calibri" w:hAnsi="Calibri"/>
        </w:rPr>
        <w:lastRenderedPageBreak/>
        <w:t>opportunities for all students. The SEP plan helps the College ensure its diverse students have equal opportunities to achieve their goals by providing the necessary tools.</w:t>
      </w:r>
    </w:p>
    <w:p w14:paraId="6940A330" w14:textId="77777777" w:rsidR="00DA7A92" w:rsidRPr="000079B4" w:rsidRDefault="00DA7A92" w:rsidP="00DA7A92">
      <w:pPr>
        <w:spacing w:after="0"/>
        <w:rPr>
          <w:rFonts w:ascii="Calibri" w:hAnsi="Calibri"/>
        </w:rPr>
      </w:pPr>
    </w:p>
    <w:p w14:paraId="6FC148A5" w14:textId="2FA7225E" w:rsidR="00DA7A92" w:rsidRPr="000079B4" w:rsidRDefault="00DA7A92" w:rsidP="00DA7A92">
      <w:pPr>
        <w:spacing w:after="0"/>
        <w:rPr>
          <w:rFonts w:ascii="Calibri" w:hAnsi="Calibri"/>
        </w:rPr>
      </w:pPr>
      <w:r w:rsidRPr="000079B4">
        <w:rPr>
          <w:rFonts w:ascii="Calibri" w:hAnsi="Calibri"/>
        </w:rPr>
        <w:t>Before the creation of the current 2022-2025 SEP, a Student Equity and Achievement Steering Workgroup (SEASW) was assembled. This group consisted of faculty, staff, administrators, and a student representative</w:t>
      </w:r>
      <w:r w:rsidR="000371B9">
        <w:rPr>
          <w:rFonts w:ascii="Calibri" w:hAnsi="Calibri"/>
        </w:rPr>
        <w:t xml:space="preserve"> with </w:t>
      </w:r>
      <w:r w:rsidRPr="000079B4">
        <w:rPr>
          <w:rFonts w:ascii="Calibri" w:hAnsi="Calibri"/>
        </w:rPr>
        <w:t xml:space="preserve">the objective to evaluate the effectiveness of the 2019-2022 Student Equity Plan. They sought to identify both successful initiatives in reducing achievement gaps for Disproportionately Impacted (DI) student groups and areas needing improvement. </w:t>
      </w:r>
      <w:r w:rsidR="00421B80">
        <w:rPr>
          <w:rFonts w:ascii="Calibri" w:hAnsi="Calibri"/>
        </w:rPr>
        <w:t xml:space="preserve">The </w:t>
      </w:r>
      <w:r w:rsidRPr="000079B4">
        <w:rPr>
          <w:rFonts w:ascii="Calibri" w:hAnsi="Calibri"/>
        </w:rPr>
        <w:t>SEASW set working norms based on authenticity, collegiality, and self-awareness to establish an equitable learning environment. These norms guided discussions around student equity work and formed the basis for the 2022-2025 Student Equity Plan (SEAP), which was developed using a post-pandemic "Equity First" framework.</w:t>
      </w:r>
    </w:p>
    <w:p w14:paraId="650CC478" w14:textId="77777777" w:rsidR="00DA7A92" w:rsidRPr="000079B4" w:rsidRDefault="00DA7A92" w:rsidP="00DA7A92">
      <w:pPr>
        <w:spacing w:after="0"/>
        <w:rPr>
          <w:rFonts w:ascii="Calibri" w:hAnsi="Calibri" w:cs="Calibri"/>
        </w:rPr>
      </w:pPr>
    </w:p>
    <w:p w14:paraId="35DA2A67" w14:textId="77777777" w:rsidR="00DA7A92" w:rsidRPr="000079B4" w:rsidRDefault="00DA7A92" w:rsidP="00DA7A92">
      <w:pPr>
        <w:rPr>
          <w:rFonts w:ascii="Calibri" w:hAnsi="Calibri" w:cs="Calibri"/>
        </w:rPr>
      </w:pPr>
      <w:r w:rsidRPr="000079B4">
        <w:rPr>
          <w:rFonts w:ascii="Calibri" w:hAnsi="Calibri" w:cs="Calibri"/>
        </w:rPr>
        <w:t>The SEASW was charged with the following responsibilities:</w:t>
      </w:r>
    </w:p>
    <w:p w14:paraId="0D998019" w14:textId="54121214" w:rsidR="00DA7A92" w:rsidRPr="000079B4" w:rsidRDefault="00DA7A92" w:rsidP="005761F9">
      <w:pPr>
        <w:numPr>
          <w:ilvl w:val="0"/>
          <w:numId w:val="26"/>
        </w:numPr>
        <w:contextualSpacing/>
        <w:rPr>
          <w:rFonts w:ascii="Calibri" w:hAnsi="Calibri" w:cs="Calibri"/>
        </w:rPr>
      </w:pPr>
      <w:r w:rsidRPr="000079B4">
        <w:rPr>
          <w:rFonts w:ascii="Calibri" w:hAnsi="Calibri" w:cs="Calibri"/>
        </w:rPr>
        <w:t xml:space="preserve">Review and evaluate successes and areas of growth from the 2019-2022 Student Equity Plan. </w:t>
      </w:r>
    </w:p>
    <w:p w14:paraId="54D3E7EB" w14:textId="77777777" w:rsidR="00DA7A92" w:rsidRPr="000079B4" w:rsidRDefault="00DA7A92" w:rsidP="005761F9">
      <w:pPr>
        <w:numPr>
          <w:ilvl w:val="0"/>
          <w:numId w:val="26"/>
        </w:numPr>
        <w:contextualSpacing/>
        <w:rPr>
          <w:rFonts w:ascii="Calibri" w:hAnsi="Calibri" w:cs="Calibri"/>
        </w:rPr>
      </w:pPr>
      <w:r w:rsidRPr="000079B4">
        <w:rPr>
          <w:rFonts w:ascii="Calibri" w:hAnsi="Calibri" w:cs="Calibri"/>
        </w:rPr>
        <w:t xml:space="preserve">Collect and review data that identified achievement gaps of students identified in DI groups. </w:t>
      </w:r>
    </w:p>
    <w:p w14:paraId="6074FBFC" w14:textId="544C7E74" w:rsidR="00DA7A92" w:rsidRPr="000079B4" w:rsidRDefault="00DA7A92" w:rsidP="005761F9">
      <w:pPr>
        <w:numPr>
          <w:ilvl w:val="0"/>
          <w:numId w:val="26"/>
        </w:numPr>
        <w:contextualSpacing/>
        <w:rPr>
          <w:rFonts w:ascii="Calibri" w:hAnsi="Calibri" w:cs="Calibri"/>
        </w:rPr>
      </w:pPr>
      <w:r w:rsidRPr="000079B4">
        <w:rPr>
          <w:rFonts w:ascii="Calibri" w:hAnsi="Calibri" w:cs="Calibri"/>
        </w:rPr>
        <w:t xml:space="preserve">Develop and create a 2022-2025 Student Equity Plan </w:t>
      </w:r>
    </w:p>
    <w:p w14:paraId="02F3D5AE" w14:textId="77777777" w:rsidR="00DA7A92" w:rsidRPr="000079B4" w:rsidRDefault="00DA7A92" w:rsidP="005761F9">
      <w:pPr>
        <w:numPr>
          <w:ilvl w:val="0"/>
          <w:numId w:val="26"/>
        </w:numPr>
        <w:spacing w:after="0"/>
        <w:contextualSpacing/>
        <w:rPr>
          <w:rFonts w:ascii="Calibri" w:hAnsi="Calibri" w:cs="Calibri"/>
        </w:rPr>
      </w:pPr>
      <w:r w:rsidRPr="000079B4">
        <w:rPr>
          <w:rFonts w:ascii="Calibri" w:hAnsi="Calibri" w:cs="Calibri"/>
        </w:rPr>
        <w:t>Establish a standing Student Equity and Achievement Committee to implement and evaluate goals and activities identified in the plan to close achievement gaps.</w:t>
      </w:r>
    </w:p>
    <w:p w14:paraId="5F593399" w14:textId="77777777" w:rsidR="00DA7A92" w:rsidRPr="000079B4" w:rsidRDefault="00DA7A92" w:rsidP="00DA7A92">
      <w:pPr>
        <w:spacing w:after="0"/>
        <w:rPr>
          <w:rFonts w:ascii="Calibri" w:hAnsi="Calibri" w:cs="Calibri"/>
        </w:rPr>
      </w:pPr>
    </w:p>
    <w:p w14:paraId="7C1D680C" w14:textId="3F2CB7DB" w:rsidR="00DA7A92" w:rsidRPr="000079B4" w:rsidRDefault="00DA7A92" w:rsidP="00DA7A92">
      <w:pPr>
        <w:rPr>
          <w:rFonts w:ascii="Calibri" w:hAnsi="Calibri" w:cs="Calibri"/>
        </w:rPr>
      </w:pPr>
      <w:r w:rsidRPr="000079B4">
        <w:rPr>
          <w:rFonts w:ascii="Calibri" w:hAnsi="Calibri" w:cs="Calibri"/>
        </w:rPr>
        <w:t xml:space="preserve">The 2022-2025 Student Equity </w:t>
      </w:r>
      <w:r w:rsidR="00A431A3">
        <w:rPr>
          <w:rFonts w:ascii="Calibri" w:hAnsi="Calibri" w:cs="Calibri"/>
        </w:rPr>
        <w:t>P</w:t>
      </w:r>
      <w:r w:rsidRPr="000079B4">
        <w:rPr>
          <w:rFonts w:ascii="Calibri" w:hAnsi="Calibri" w:cs="Calibri"/>
        </w:rPr>
        <w:t xml:space="preserve">lan was developed to ensure the integration of all goals, with a focus on prioritizing equity. The college utilizes data analysis to address achievement gaps, which is in line with its mission, vision, and Strategic Action Plan. Taft College is also using the Guided Pathways framework to enhance existing programs, minimize redundancy, bolster resources, and foster new opportunities for students while strengthening collaboration across programs. </w:t>
      </w:r>
    </w:p>
    <w:p w14:paraId="0F2D81AF" w14:textId="159C0548" w:rsidR="00DA7A92" w:rsidRPr="000079B4" w:rsidRDefault="00DA7A92" w:rsidP="00DA7A92">
      <w:pPr>
        <w:rPr>
          <w:rFonts w:ascii="Calibri" w:hAnsi="Calibri" w:cs="Calibri"/>
        </w:rPr>
      </w:pPr>
      <w:r w:rsidRPr="000079B4">
        <w:rPr>
          <w:rFonts w:ascii="Calibri" w:hAnsi="Calibri" w:cs="Calibri"/>
        </w:rPr>
        <w:t>The main goal of the Student Equity Plan is to recognize student groups that are disproportionately affected in meeting the success metrics of the California Community College Chancellor’s Office. The plan aims to reduce and ultimately eliminate the achievement gap for these identified groups as outlined by the state Chancellor’s Office. A secondary goal is to focus on additional groups identified by Taft College as those who could benefit from the “Equity First” activities, including historically racially minoritized students of color. An evaluation process was also created with defined metrics to achieve the goals.</w:t>
      </w:r>
    </w:p>
    <w:p w14:paraId="1983025F" w14:textId="1E49D489" w:rsidR="00BC3F5A" w:rsidRDefault="00DA7A92" w:rsidP="006A3D96">
      <w:pPr>
        <w:rPr>
          <w:rFonts w:ascii="Calibri" w:hAnsi="Calibri" w:cs="Calibri"/>
        </w:rPr>
      </w:pPr>
      <w:r w:rsidRPr="000079B4">
        <w:rPr>
          <w:rFonts w:ascii="Calibri" w:hAnsi="Calibri" w:cs="Calibri"/>
        </w:rPr>
        <w:t>The Student E</w:t>
      </w:r>
      <w:r w:rsidR="00F1120A">
        <w:rPr>
          <w:rFonts w:ascii="Calibri" w:hAnsi="Calibri" w:cs="Calibri"/>
        </w:rPr>
        <w:t>quity</w:t>
      </w:r>
      <w:r w:rsidRPr="000079B4">
        <w:rPr>
          <w:rFonts w:ascii="Calibri" w:hAnsi="Calibri" w:cs="Calibri"/>
        </w:rPr>
        <w:t xml:space="preserve"> Plan (SEP) undergoes continuous updates to ensure it remains current and provides enhancements. In addition to Taft College’s SEP plan, a commitment to student equity is demonstrated through the development of its Diversity, Inclusion, Equity, Accessibility, and Anti-Racism (DEIAA) committee. The committee hosts events such as Hispanic Awareness, Black History Month, and a Male Summit for high school seniors. It also collaborates with the Associated Student Organization (ASO) on various </w:t>
      </w:r>
      <w:r w:rsidR="008E014B">
        <w:rPr>
          <w:rFonts w:ascii="Calibri" w:hAnsi="Calibri" w:cs="Calibri"/>
        </w:rPr>
        <w:t>DEIAA</w:t>
      </w:r>
      <w:r w:rsidR="008E014B" w:rsidRPr="000079B4">
        <w:rPr>
          <w:rFonts w:ascii="Calibri" w:hAnsi="Calibri" w:cs="Calibri"/>
        </w:rPr>
        <w:t xml:space="preserve"> </w:t>
      </w:r>
      <w:r w:rsidRPr="000079B4">
        <w:rPr>
          <w:rFonts w:ascii="Calibri" w:hAnsi="Calibri" w:cs="Calibri"/>
        </w:rPr>
        <w:t>projects</w:t>
      </w:r>
      <w:r w:rsidR="008E014B">
        <w:rPr>
          <w:rFonts w:ascii="Calibri" w:hAnsi="Calibri" w:cs="Calibri"/>
        </w:rPr>
        <w:t>.</w:t>
      </w:r>
      <w:r w:rsidRPr="000079B4">
        <w:rPr>
          <w:rFonts w:ascii="Calibri" w:hAnsi="Calibri" w:cs="Calibri"/>
        </w:rPr>
        <w:t xml:space="preserve">  </w:t>
      </w:r>
      <w:bookmarkEnd w:id="79"/>
    </w:p>
    <w:p w14:paraId="580F4CA4" w14:textId="265D476D" w:rsidR="00AE08AF" w:rsidRPr="00AE08AF" w:rsidRDefault="00AE08AF" w:rsidP="00893A6B">
      <w:pPr>
        <w:pStyle w:val="Heading2"/>
        <w:rPr>
          <w:color w:val="C00000"/>
        </w:rPr>
      </w:pPr>
      <w:bookmarkStart w:id="86" w:name="_Toc194931245"/>
      <w:bookmarkStart w:id="87" w:name="_Toc194931570"/>
      <w:r w:rsidRPr="00893A6B">
        <w:t>Guided Pathways</w:t>
      </w:r>
      <w:bookmarkEnd w:id="86"/>
      <w:bookmarkEnd w:id="87"/>
      <w:r>
        <w:t xml:space="preserve"> </w:t>
      </w:r>
    </w:p>
    <w:p w14:paraId="30C68C5A" w14:textId="7C086F2D" w:rsidR="00BC3F5A" w:rsidRDefault="00893A6B" w:rsidP="00893A6B">
      <w:r>
        <w:t xml:space="preserve">Taft College implemented Guided Pathways as an initiative that began in conjunction with the </w:t>
      </w:r>
      <w:r w:rsidRPr="005152A9">
        <w:rPr>
          <w:i/>
          <w:iCs/>
        </w:rPr>
        <w:t xml:space="preserve">Vision </w:t>
      </w:r>
      <w:r w:rsidR="005152A9" w:rsidRPr="005152A9">
        <w:rPr>
          <w:i/>
          <w:iCs/>
        </w:rPr>
        <w:t>for</w:t>
      </w:r>
      <w:r w:rsidRPr="005152A9">
        <w:rPr>
          <w:i/>
          <w:iCs/>
        </w:rPr>
        <w:t xml:space="preserve"> Success</w:t>
      </w:r>
      <w:r>
        <w:t>, launched in 2017</w:t>
      </w:r>
      <w:r w:rsidR="002436B1">
        <w:t xml:space="preserve">, and is discussed further </w:t>
      </w:r>
      <w:r>
        <w:t>in this document</w:t>
      </w:r>
      <w:r w:rsidR="002436B1">
        <w:t xml:space="preserve"> under the section State Context</w:t>
      </w:r>
      <w:r>
        <w:t xml:space="preserve">. </w:t>
      </w:r>
      <w:r w:rsidR="00413508">
        <w:t xml:space="preserve">More information can be found on the Taft College website for </w:t>
      </w:r>
      <w:hyperlink r:id="rId27" w:history="1">
        <w:r w:rsidR="00413508" w:rsidRPr="00413508">
          <w:rPr>
            <w:rStyle w:val="Hyperlink"/>
          </w:rPr>
          <w:t>Guided Pathways</w:t>
        </w:r>
      </w:hyperlink>
      <w:r w:rsidR="00413508">
        <w:t xml:space="preserve">. </w:t>
      </w:r>
      <w:r>
        <w:t>Taft College</w:t>
      </w:r>
      <w:r w:rsidR="002436B1">
        <w:t xml:space="preserve"> has identified the below seven meta majors to assist students in pursuing their educational goals. The work is ongoing as the College continues its focus on student access and success and aligning College curriculum, programs, and student support services with the Guided </w:t>
      </w:r>
      <w:r w:rsidR="004271BD">
        <w:t>P</w:t>
      </w:r>
      <w:r w:rsidR="002436B1">
        <w:t xml:space="preserve">athways model. The State Chancellor’s Office requires a Scale of Adoption Assessment (SOAA) report annually from community colleges on their progress in implementing the four pillars of the model as a component of the </w:t>
      </w:r>
      <w:r w:rsidR="002436B1" w:rsidRPr="005152A9">
        <w:rPr>
          <w:i/>
          <w:iCs/>
        </w:rPr>
        <w:t xml:space="preserve">Vision </w:t>
      </w:r>
      <w:r w:rsidR="005152A9" w:rsidRPr="005152A9">
        <w:rPr>
          <w:i/>
          <w:iCs/>
        </w:rPr>
        <w:t>for</w:t>
      </w:r>
      <w:r w:rsidR="002436B1" w:rsidRPr="005152A9">
        <w:rPr>
          <w:i/>
          <w:iCs/>
        </w:rPr>
        <w:t xml:space="preserve"> Success</w:t>
      </w:r>
      <w:r w:rsidR="002436B1">
        <w:t xml:space="preserve"> and </w:t>
      </w:r>
      <w:r w:rsidR="002436B1" w:rsidRPr="005152A9">
        <w:rPr>
          <w:i/>
          <w:iCs/>
        </w:rPr>
        <w:t>Vision 2030</w:t>
      </w:r>
      <w:r w:rsidR="002436B1">
        <w:t xml:space="preserve">.  </w:t>
      </w:r>
    </w:p>
    <w:p w14:paraId="711E7F78" w14:textId="77777777" w:rsidR="00635A4C" w:rsidRDefault="00635A4C" w:rsidP="00893A6B"/>
    <w:p w14:paraId="4D19A7D7" w14:textId="77777777" w:rsidR="002436B1" w:rsidRDefault="002436B1" w:rsidP="00893A6B"/>
    <w:tbl>
      <w:tblPr>
        <w:tblStyle w:val="TableGrid"/>
        <w:tblW w:w="0" w:type="auto"/>
        <w:tblInd w:w="1615" w:type="dxa"/>
        <w:tblLook w:val="04A0" w:firstRow="1" w:lastRow="0" w:firstColumn="1" w:lastColumn="0" w:noHBand="0" w:noVBand="1"/>
      </w:tblPr>
      <w:tblGrid>
        <w:gridCol w:w="6750"/>
      </w:tblGrid>
      <w:tr w:rsidR="005152A9" w14:paraId="3E5779E9" w14:textId="77777777" w:rsidTr="005152A9">
        <w:trPr>
          <w:trHeight w:val="552"/>
        </w:trPr>
        <w:tc>
          <w:tcPr>
            <w:tcW w:w="6750" w:type="dxa"/>
            <w:shd w:val="clear" w:color="auto" w:fill="D9E2F3" w:themeFill="accent1" w:themeFillTint="33"/>
          </w:tcPr>
          <w:p w14:paraId="2E395F05" w14:textId="77777777" w:rsidR="005152A9" w:rsidRDefault="005152A9" w:rsidP="005152A9">
            <w:pPr>
              <w:jc w:val="center"/>
              <w:rPr>
                <w:b/>
                <w:bCs/>
                <w:sz w:val="24"/>
              </w:rPr>
            </w:pPr>
          </w:p>
          <w:p w14:paraId="5345F867" w14:textId="1FA5945C" w:rsidR="005152A9" w:rsidRPr="005152A9" w:rsidRDefault="005152A9" w:rsidP="005152A9">
            <w:pPr>
              <w:jc w:val="center"/>
              <w:rPr>
                <w:b/>
                <w:bCs/>
                <w:sz w:val="24"/>
              </w:rPr>
            </w:pPr>
            <w:r w:rsidRPr="005152A9">
              <w:rPr>
                <w:b/>
                <w:bCs/>
                <w:sz w:val="24"/>
              </w:rPr>
              <w:t>TAFT COLLEGE GUIDED PATHWAYS - META MAJORS</w:t>
            </w:r>
          </w:p>
        </w:tc>
      </w:tr>
      <w:tr w:rsidR="005152A9" w14:paraId="5DF9B9B9" w14:textId="77777777" w:rsidTr="005152A9">
        <w:tc>
          <w:tcPr>
            <w:tcW w:w="6750" w:type="dxa"/>
            <w:shd w:val="clear" w:color="auto" w:fill="auto"/>
          </w:tcPr>
          <w:p w14:paraId="3CECA81A" w14:textId="00991DA3" w:rsidR="005152A9" w:rsidRDefault="005152A9" w:rsidP="005152A9">
            <w:pPr>
              <w:jc w:val="center"/>
            </w:pPr>
            <w:r>
              <w:t>Arts, Humanities, and Communications</w:t>
            </w:r>
          </w:p>
        </w:tc>
      </w:tr>
      <w:tr w:rsidR="005152A9" w14:paraId="2BC10BFB" w14:textId="77777777" w:rsidTr="005152A9">
        <w:tc>
          <w:tcPr>
            <w:tcW w:w="6750" w:type="dxa"/>
            <w:shd w:val="clear" w:color="auto" w:fill="auto"/>
          </w:tcPr>
          <w:p w14:paraId="5056C499" w14:textId="49D47ADB" w:rsidR="005152A9" w:rsidRDefault="005152A9" w:rsidP="005152A9">
            <w:pPr>
              <w:jc w:val="center"/>
            </w:pPr>
            <w:r>
              <w:t>Early Childhood and Elementary Education</w:t>
            </w:r>
          </w:p>
        </w:tc>
      </w:tr>
      <w:tr w:rsidR="005152A9" w14:paraId="0E561A83" w14:textId="77777777" w:rsidTr="005152A9">
        <w:tc>
          <w:tcPr>
            <w:tcW w:w="6750" w:type="dxa"/>
            <w:shd w:val="clear" w:color="auto" w:fill="auto"/>
          </w:tcPr>
          <w:p w14:paraId="27F57354" w14:textId="1BD62908" w:rsidR="005152A9" w:rsidRDefault="005152A9" w:rsidP="005152A9">
            <w:pPr>
              <w:jc w:val="center"/>
            </w:pPr>
            <w:r>
              <w:t>Science, Technology, Engineering, and Mathematics (STEM)</w:t>
            </w:r>
          </w:p>
        </w:tc>
      </w:tr>
      <w:tr w:rsidR="005152A9" w14:paraId="7A63F26A" w14:textId="77777777" w:rsidTr="005152A9">
        <w:tc>
          <w:tcPr>
            <w:tcW w:w="6750" w:type="dxa"/>
            <w:shd w:val="clear" w:color="auto" w:fill="auto"/>
          </w:tcPr>
          <w:p w14:paraId="1843C186" w14:textId="0E07F92E" w:rsidR="005152A9" w:rsidRDefault="005152A9" w:rsidP="005152A9">
            <w:pPr>
              <w:jc w:val="center"/>
            </w:pPr>
            <w:r>
              <w:t>Health Science and Kinesiology</w:t>
            </w:r>
          </w:p>
        </w:tc>
      </w:tr>
      <w:tr w:rsidR="005152A9" w14:paraId="2DF93801" w14:textId="77777777" w:rsidTr="005152A9">
        <w:tc>
          <w:tcPr>
            <w:tcW w:w="6750" w:type="dxa"/>
            <w:shd w:val="clear" w:color="auto" w:fill="auto"/>
          </w:tcPr>
          <w:p w14:paraId="6757CA4F" w14:textId="78D7737D" w:rsidR="005152A9" w:rsidRDefault="005152A9" w:rsidP="005152A9">
            <w:pPr>
              <w:jc w:val="center"/>
            </w:pPr>
            <w:r>
              <w:t>Business and Finance</w:t>
            </w:r>
          </w:p>
        </w:tc>
      </w:tr>
      <w:tr w:rsidR="005152A9" w14:paraId="3990CE8F" w14:textId="77777777" w:rsidTr="005152A9">
        <w:tc>
          <w:tcPr>
            <w:tcW w:w="6750" w:type="dxa"/>
            <w:shd w:val="clear" w:color="auto" w:fill="auto"/>
          </w:tcPr>
          <w:p w14:paraId="4CE64924" w14:textId="51DBE61D" w:rsidR="005152A9" w:rsidRDefault="005152A9" w:rsidP="005152A9">
            <w:pPr>
              <w:jc w:val="center"/>
            </w:pPr>
            <w:r>
              <w:t>Industrial Technology</w:t>
            </w:r>
          </w:p>
        </w:tc>
      </w:tr>
      <w:tr w:rsidR="005152A9" w14:paraId="57869BDC" w14:textId="77777777" w:rsidTr="005152A9">
        <w:tc>
          <w:tcPr>
            <w:tcW w:w="6750" w:type="dxa"/>
            <w:shd w:val="clear" w:color="auto" w:fill="auto"/>
          </w:tcPr>
          <w:p w14:paraId="03510DAF" w14:textId="221BAFE7" w:rsidR="005152A9" w:rsidRDefault="005152A9" w:rsidP="005152A9">
            <w:pPr>
              <w:jc w:val="center"/>
            </w:pPr>
            <w:r>
              <w:t>Social Sciences, Law Enforcement, and Public Service</w:t>
            </w:r>
          </w:p>
        </w:tc>
      </w:tr>
    </w:tbl>
    <w:p w14:paraId="422B90BC" w14:textId="77777777" w:rsidR="001E03A7" w:rsidRDefault="001E03A7" w:rsidP="001E03A7">
      <w:pPr>
        <w:pStyle w:val="Heading2"/>
      </w:pPr>
      <w:bookmarkStart w:id="88" w:name="_Toc194931246"/>
      <w:bookmarkStart w:id="89" w:name="_Toc194931571"/>
      <w:r>
        <w:t>Current Planning Efforts in Progress</w:t>
      </w:r>
      <w:bookmarkEnd w:id="88"/>
      <w:bookmarkEnd w:id="89"/>
    </w:p>
    <w:p w14:paraId="305AB317" w14:textId="36138FC9" w:rsidR="00BC3F5A" w:rsidRDefault="00085065" w:rsidP="001E03A7">
      <w:r>
        <w:t>A</w:t>
      </w:r>
      <w:r w:rsidR="001E03A7">
        <w:t>s th</w:t>
      </w:r>
      <w:r w:rsidR="00CF2EFC">
        <w:t>e</w:t>
      </w:r>
      <w:r w:rsidR="001E03A7">
        <w:t xml:space="preserve"> </w:t>
      </w:r>
      <w:r w:rsidR="00CF2EFC" w:rsidRPr="00CF2EFC">
        <w:rPr>
          <w:i/>
          <w:iCs/>
        </w:rPr>
        <w:t xml:space="preserve">Taft College </w:t>
      </w:r>
      <w:r w:rsidR="001E03A7" w:rsidRPr="00CF2EFC">
        <w:rPr>
          <w:i/>
          <w:iCs/>
        </w:rPr>
        <w:t xml:space="preserve">Educational Master Plan </w:t>
      </w:r>
      <w:r w:rsidR="00CF2EFC" w:rsidRPr="00CF2EFC">
        <w:rPr>
          <w:i/>
          <w:iCs/>
        </w:rPr>
        <w:t>2025-2035</w:t>
      </w:r>
      <w:r w:rsidR="00CF2EFC">
        <w:t xml:space="preserve"> </w:t>
      </w:r>
      <w:r w:rsidR="001E03A7">
        <w:t>was being developed</w:t>
      </w:r>
      <w:r>
        <w:t>, two key planning eff</w:t>
      </w:r>
      <w:r w:rsidR="00CF2EFC">
        <w:t>o</w:t>
      </w:r>
      <w:r>
        <w:t xml:space="preserve">rts underway at </w:t>
      </w:r>
      <w:r w:rsidR="00CF2EFC">
        <w:t>the</w:t>
      </w:r>
      <w:r>
        <w:t xml:space="preserve"> College included the </w:t>
      </w:r>
      <w:r w:rsidR="001E03A7">
        <w:t xml:space="preserve">Strategic Enrollment Management (SEM) Plan and new program planning </w:t>
      </w:r>
      <w:r>
        <w:t>aligned with local</w:t>
      </w:r>
      <w:r w:rsidR="001E03A7">
        <w:t xml:space="preserve"> workforce needs.</w:t>
      </w:r>
      <w:r w:rsidR="00CF2EFC">
        <w:t xml:space="preserve"> These efforts are discussed below.</w:t>
      </w:r>
    </w:p>
    <w:p w14:paraId="61B714A2" w14:textId="4533CDCF" w:rsidR="00AE08AF" w:rsidRDefault="00AE08AF" w:rsidP="00F16EFC">
      <w:bookmarkStart w:id="90" w:name="_Toc194322817"/>
      <w:bookmarkStart w:id="91" w:name="_Toc194324192"/>
      <w:r>
        <w:t xml:space="preserve">Strategic Enrollment Management </w:t>
      </w:r>
      <w:r w:rsidR="001E03A7">
        <w:t xml:space="preserve">(SEM) </w:t>
      </w:r>
      <w:r>
        <w:t>Plan</w:t>
      </w:r>
      <w:bookmarkEnd w:id="90"/>
      <w:bookmarkEnd w:id="91"/>
    </w:p>
    <w:p w14:paraId="6E237189" w14:textId="33EA1FC1" w:rsidR="001E03A7" w:rsidRPr="001E03A7" w:rsidRDefault="001E03A7" w:rsidP="001E03A7">
      <w:r>
        <w:t xml:space="preserve">Initial work has begun on </w:t>
      </w:r>
      <w:r w:rsidR="00974F4E">
        <w:t xml:space="preserve">the </w:t>
      </w:r>
      <w:r>
        <w:t>development of a SEM Plan for Taft College. The effort is being led by a tri-chair group comprised of the Vice President of Instruction, the Vice President of Student Services, and an experienced</w:t>
      </w:r>
      <w:r w:rsidR="00E4707E">
        <w:t>,</w:t>
      </w:r>
      <w:r>
        <w:t xml:space="preserve"> tenured faculty member appointed by the Academic Senate. The need for the plan was recognized </w:t>
      </w:r>
      <w:r w:rsidR="00C96450">
        <w:t>based partly on several changes in the West Kern region, including the impact of the 2020-202</w:t>
      </w:r>
      <w:r w:rsidR="00C71752">
        <w:t>3</w:t>
      </w:r>
      <w:r w:rsidR="00C96450">
        <w:t xml:space="preserve"> </w:t>
      </w:r>
      <w:r w:rsidR="00BC2144">
        <w:t>COVID-19 pandemic</w:t>
      </w:r>
      <w:r w:rsidR="00C96450">
        <w:t>, economic changes in the region from the changing dynamics of the oil industry, demographic changes in the West Kern/Taft area, increasing health care needs, and changes in student participation preferences, to name a few. The SEM Plan project is on hold and will</w:t>
      </w:r>
      <w:r w:rsidR="003E71FF">
        <w:t xml:space="preserve"> be</w:t>
      </w:r>
      <w:r w:rsidR="00C96450">
        <w:t xml:space="preserve"> </w:t>
      </w:r>
      <w:r w:rsidR="003E71FF">
        <w:t>finalized</w:t>
      </w:r>
      <w:r w:rsidR="00C96450">
        <w:t xml:space="preserve"> in </w:t>
      </w:r>
      <w:r w:rsidR="00E959A2">
        <w:t>conjunction with the adoption of the new Educational Master Plan, which provides</w:t>
      </w:r>
      <w:r w:rsidR="00BC44E1">
        <w:t xml:space="preserve"> </w:t>
      </w:r>
      <w:r w:rsidR="00C96450">
        <w:t>a framework for the project’s planning effort.</w:t>
      </w:r>
    </w:p>
    <w:p w14:paraId="67DE9D3D" w14:textId="33C1825C" w:rsidR="00C15415" w:rsidRDefault="00DA7A92" w:rsidP="00F16EFC">
      <w:bookmarkStart w:id="92" w:name="_Toc194322818"/>
      <w:bookmarkStart w:id="93" w:name="_Toc194324193"/>
      <w:r>
        <w:t xml:space="preserve">New Program </w:t>
      </w:r>
      <w:r w:rsidR="00C15415">
        <w:t>Planning</w:t>
      </w:r>
      <w:bookmarkEnd w:id="92"/>
      <w:bookmarkEnd w:id="93"/>
      <w:r w:rsidR="00C15415">
        <w:t xml:space="preserve"> </w:t>
      </w:r>
    </w:p>
    <w:p w14:paraId="27785D7B" w14:textId="2C4ABA2C" w:rsidR="009A1F0B" w:rsidRDefault="009A1F0B" w:rsidP="009A1F0B">
      <w:pPr>
        <w:pStyle w:val="BodyText"/>
        <w:spacing w:before="95"/>
      </w:pPr>
      <w:r w:rsidRPr="000114A7">
        <w:t xml:space="preserve">Due to the changing workforce needs of the region, efforts are underway by Taft College to expand Career Technical Education (CTE) to serve the region. There are several areas under exploration and development. </w:t>
      </w:r>
      <w:r w:rsidR="008629EE">
        <w:t>W</w:t>
      </w:r>
      <w:r w:rsidRPr="000114A7">
        <w:t xml:space="preserve">ork is underway to address workforce needs in allied health areas, </w:t>
      </w:r>
      <w:r w:rsidR="008629EE">
        <w:t>including potentially adding</w:t>
      </w:r>
      <w:r w:rsidRPr="00EB471F">
        <w:t xml:space="preserve"> an Associate Degree in Nursing, a Medical Assisting certificate program, and Paramedic training.</w:t>
      </w:r>
      <w:r w:rsidRPr="000114A7">
        <w:t xml:space="preserve"> The College has launched a Bachelor’s Degree in Dental Hygiene Administration, with the first student cohort in the 2024-2025 Academic Year. </w:t>
      </w:r>
    </w:p>
    <w:p w14:paraId="70942BB8" w14:textId="1C67EC60" w:rsidR="009A1F0B" w:rsidRDefault="009A1F0B" w:rsidP="009A1F0B">
      <w:pPr>
        <w:pStyle w:val="BodyText"/>
        <w:spacing w:before="95"/>
      </w:pPr>
      <w:r w:rsidRPr="000114A7">
        <w:t>A newer area of focus is planning for noncredit courses aligning with Vision 2030, with emphases on short-term vocational programs, workforce preparation, and elementary and secondary basic skills. Instruction for short</w:t>
      </w:r>
      <w:r w:rsidR="002173EC">
        <w:noBreakHyphen/>
      </w:r>
      <w:r w:rsidRPr="000114A7">
        <w:t>term workforce training continues for both entry-level and advanced training needs through a partnership with the Westside Energy Services and Training Education Center (WESTEC)</w:t>
      </w:r>
      <w:r w:rsidR="00D62DEB">
        <w:t>.</w:t>
      </w:r>
      <w:r w:rsidRPr="000114A7">
        <w:t xml:space="preserve"> As current workforce data is analyzed in conjunction with EMP development, additional new program areas will continue to be explored.</w:t>
      </w:r>
    </w:p>
    <w:p w14:paraId="6D33A5F1" w14:textId="77777777" w:rsidR="004F24E1" w:rsidRDefault="004F24E1" w:rsidP="004F24E1">
      <w:pPr>
        <w:pStyle w:val="Heading1"/>
      </w:pPr>
      <w:bookmarkStart w:id="94" w:name="_Toc194931247"/>
      <w:bookmarkStart w:id="95" w:name="_Toc194931572"/>
      <w:r>
        <w:t>Educational Master Plan Alignment with Other Planning Efforts</w:t>
      </w:r>
      <w:bookmarkEnd w:id="94"/>
      <w:bookmarkEnd w:id="95"/>
    </w:p>
    <w:p w14:paraId="7171ED68" w14:textId="77777777" w:rsidR="004F24E1" w:rsidRDefault="004F24E1" w:rsidP="004F24E1">
      <w:r w:rsidRPr="00003BF7">
        <w:t xml:space="preserve">Planning at </w:t>
      </w:r>
      <w:r>
        <w:t>Taft</w:t>
      </w:r>
      <w:r w:rsidRPr="00003BF7">
        <w:t xml:space="preserve"> College exists in a variety of interconnected processes and documents. Accreditation self-</w:t>
      </w:r>
      <w:r>
        <w:t>evaluation reports</w:t>
      </w:r>
      <w:r w:rsidRPr="00003BF7">
        <w:t xml:space="preserve">, department and unit plans, program reviews, and campus-wide plans come together to inform the work done at the college. </w:t>
      </w:r>
      <w:r>
        <w:t xml:space="preserve">As described earlier in this document, the Taft </w:t>
      </w:r>
      <w:r w:rsidRPr="00003BF7">
        <w:t>C</w:t>
      </w:r>
      <w:r>
        <w:t>ollege</w:t>
      </w:r>
      <w:r w:rsidRPr="00003BF7">
        <w:t xml:space="preserve"> </w:t>
      </w:r>
      <w:r>
        <w:t xml:space="preserve">Integrated Planning System </w:t>
      </w:r>
      <w:r w:rsidRPr="00003BF7">
        <w:t xml:space="preserve">refers to three inter-related and dynamic </w:t>
      </w:r>
      <w:r>
        <w:t xml:space="preserve">planning </w:t>
      </w:r>
      <w:r w:rsidRPr="00003BF7">
        <w:t>documents</w:t>
      </w:r>
      <w:r>
        <w:t xml:space="preserve"> and processes</w:t>
      </w:r>
      <w:r w:rsidRPr="00003BF7">
        <w:t>:</w:t>
      </w:r>
    </w:p>
    <w:p w14:paraId="237C8A33" w14:textId="77777777" w:rsidR="00EB471F" w:rsidRDefault="004F24E1" w:rsidP="00EB471F">
      <w:pPr>
        <w:pStyle w:val="ListParagraph"/>
        <w:numPr>
          <w:ilvl w:val="0"/>
          <w:numId w:val="29"/>
        </w:numPr>
      </w:pPr>
      <w:r w:rsidRPr="00234CA2">
        <w:rPr>
          <w:rStyle w:val="Heading4Char"/>
        </w:rPr>
        <w:t>Educational Master Plan (EMP):</w:t>
      </w:r>
      <w:r w:rsidRPr="00003BF7">
        <w:t xml:space="preserve"> The </w:t>
      </w:r>
      <w:r>
        <w:t>long-range</w:t>
      </w:r>
      <w:r w:rsidRPr="00003BF7">
        <w:t xml:space="preserve"> primary planning document </w:t>
      </w:r>
      <w:r>
        <w:t xml:space="preserve">of the College; it outlines </w:t>
      </w:r>
      <w:r w:rsidRPr="00EB471F">
        <w:t>broad ten-year goals and College-wide objectives across multiple departments to fulfill those goals.</w:t>
      </w:r>
    </w:p>
    <w:p w14:paraId="33E54DE2" w14:textId="2BF4188D" w:rsidR="004F24E1" w:rsidRPr="00EB471F" w:rsidRDefault="004F24E1" w:rsidP="00EB471F">
      <w:pPr>
        <w:pStyle w:val="ListParagraph"/>
        <w:numPr>
          <w:ilvl w:val="0"/>
          <w:numId w:val="29"/>
        </w:numPr>
        <w:rPr>
          <w:rStyle w:val="Heading4Char"/>
          <w:rFonts w:cs="Times New Roman"/>
          <w:color w:val="auto"/>
          <w:szCs w:val="24"/>
          <w:u w:val="none"/>
        </w:rPr>
      </w:pPr>
      <w:r w:rsidRPr="00EB471F">
        <w:rPr>
          <w:rStyle w:val="Heading4Char"/>
        </w:rPr>
        <w:lastRenderedPageBreak/>
        <w:t>Strategic Action Plan</w:t>
      </w:r>
      <w:r w:rsidR="00212CB9">
        <w:rPr>
          <w:rStyle w:val="Heading4Char"/>
        </w:rPr>
        <w:t xml:space="preserve"> (SAP)</w:t>
      </w:r>
      <w:r w:rsidRPr="00EB471F">
        <w:rPr>
          <w:rStyle w:val="Heading4Char"/>
        </w:rPr>
        <w:t>:</w:t>
      </w:r>
      <w:r w:rsidR="00EB471F" w:rsidRPr="00212CB9">
        <w:rPr>
          <w:rStyle w:val="Heading4Char"/>
          <w:u w:val="none"/>
        </w:rPr>
        <w:t xml:space="preserve"> </w:t>
      </w:r>
      <w:r w:rsidR="00212CB9" w:rsidRPr="003112B0">
        <w:rPr>
          <w:rStyle w:val="Heading4Char"/>
          <w:color w:val="auto"/>
          <w:u w:val="none"/>
        </w:rPr>
        <w:t>The shorter-term planning document providing a ro</w:t>
      </w:r>
      <w:r w:rsidR="00212CB9">
        <w:rPr>
          <w:rStyle w:val="Heading4Char"/>
          <w:color w:val="auto"/>
          <w:u w:val="none"/>
        </w:rPr>
        <w:t>admap</w:t>
      </w:r>
      <w:r w:rsidR="00EB471F" w:rsidRPr="00EB471F">
        <w:rPr>
          <w:rStyle w:val="Heading4Char"/>
          <w:color w:val="auto"/>
          <w:u w:val="none"/>
        </w:rPr>
        <w:t xml:space="preserve"> to success</w:t>
      </w:r>
      <w:r w:rsidR="00212CB9">
        <w:rPr>
          <w:rStyle w:val="Heading4Char"/>
          <w:color w:val="auto"/>
          <w:u w:val="none"/>
        </w:rPr>
        <w:t xml:space="preserve"> in achieving EMP goals</w:t>
      </w:r>
      <w:r w:rsidR="00EB471F" w:rsidRPr="00EB471F">
        <w:rPr>
          <w:rStyle w:val="Heading4Char"/>
          <w:color w:val="auto"/>
          <w:u w:val="none"/>
        </w:rPr>
        <w:t>. It helps prioritize goals, maximize resources, and make data-driven decisions</w:t>
      </w:r>
      <w:r w:rsidR="00212CB9">
        <w:rPr>
          <w:rStyle w:val="Heading4Char"/>
          <w:color w:val="auto"/>
          <w:u w:val="none"/>
        </w:rPr>
        <w:t xml:space="preserve"> over the span of three years</w:t>
      </w:r>
      <w:r w:rsidR="00EB471F" w:rsidRPr="00EB471F">
        <w:rPr>
          <w:rStyle w:val="Heading4Char"/>
          <w:color w:val="auto"/>
          <w:u w:val="none"/>
        </w:rPr>
        <w:t xml:space="preserve">. </w:t>
      </w:r>
    </w:p>
    <w:p w14:paraId="624AAC5B" w14:textId="1D1B85C2" w:rsidR="004F24E1" w:rsidRDefault="00565D49" w:rsidP="004F24E1">
      <w:pPr>
        <w:pStyle w:val="ListParagraph"/>
        <w:numPr>
          <w:ilvl w:val="0"/>
          <w:numId w:val="29"/>
        </w:numPr>
      </w:pPr>
      <w:r>
        <w:rPr>
          <w:rStyle w:val="Heading4Char"/>
        </w:rPr>
        <w:t xml:space="preserve">Comprehensive </w:t>
      </w:r>
      <w:r w:rsidR="004F24E1" w:rsidRPr="00234CA2">
        <w:rPr>
          <w:rStyle w:val="Heading4Char"/>
        </w:rPr>
        <w:t>Program Reviews:</w:t>
      </w:r>
      <w:r w:rsidR="004F24E1" w:rsidRPr="00003BF7">
        <w:t xml:space="preserve"> </w:t>
      </w:r>
      <w:r w:rsidR="003112B0">
        <w:t>A three</w:t>
      </w:r>
      <w:r w:rsidR="003112B0">
        <w:noBreakHyphen/>
        <w:t>year in-depth reporting and planning document align</w:t>
      </w:r>
      <w:r w:rsidR="00F64DFE">
        <w:t>ed</w:t>
      </w:r>
      <w:r w:rsidR="003112B0">
        <w:t xml:space="preserve"> with SAP objectives. </w:t>
      </w:r>
      <w:r w:rsidR="004F24E1">
        <w:t>Instructional and non-instructional (student and administrative services) program reviews are conducted in all areas to evaluate vitality, viability, strengths, and resource needs (fiscal, personnel, facility, and technology) for existing programs.</w:t>
      </w:r>
      <w:r w:rsidR="003112B0">
        <w:t xml:space="preserve"> Program plans are derived from </w:t>
      </w:r>
      <w:proofErr w:type="gramStart"/>
      <w:r w:rsidR="003112B0">
        <w:t>the reviews</w:t>
      </w:r>
      <w:proofErr w:type="gramEnd"/>
      <w:r w:rsidR="003112B0">
        <w:t xml:space="preserve">.  </w:t>
      </w:r>
    </w:p>
    <w:p w14:paraId="5BD06160" w14:textId="68280332" w:rsidR="00565D49" w:rsidRDefault="00565D49" w:rsidP="00565D49">
      <w:pPr>
        <w:pStyle w:val="ListParagraph"/>
        <w:numPr>
          <w:ilvl w:val="1"/>
          <w:numId w:val="29"/>
        </w:numPr>
      </w:pPr>
      <w:r w:rsidRPr="007A283B">
        <w:rPr>
          <w:rStyle w:val="Heading5Char"/>
        </w:rPr>
        <w:t>Annual Program Review Update:</w:t>
      </w:r>
      <w:r w:rsidRPr="00003BF7">
        <w:t xml:space="preserve"> </w:t>
      </w:r>
      <w:r w:rsidR="00F64DFE">
        <w:t xml:space="preserve">Progress updates to track performance in achieving SAP goals. </w:t>
      </w:r>
    </w:p>
    <w:p w14:paraId="1B036B2F" w14:textId="798955D5" w:rsidR="004F24E1" w:rsidRDefault="004F24E1" w:rsidP="00565D49">
      <w:pPr>
        <w:pStyle w:val="ListParagraph"/>
        <w:numPr>
          <w:ilvl w:val="0"/>
          <w:numId w:val="29"/>
        </w:numPr>
      </w:pPr>
      <w:r w:rsidRPr="007A283B">
        <w:rPr>
          <w:rStyle w:val="Heading4Char"/>
        </w:rPr>
        <w:t>Strategic Enrollment Management (SEM)</w:t>
      </w:r>
      <w:r w:rsidR="00565D49" w:rsidRPr="007A283B">
        <w:rPr>
          <w:rStyle w:val="Heading4Char"/>
        </w:rPr>
        <w:t>:</w:t>
      </w:r>
      <w:r w:rsidRPr="00F64DFE">
        <w:rPr>
          <w:rStyle w:val="Heading4Char"/>
        </w:rPr>
        <w:t xml:space="preserve"> </w:t>
      </w:r>
      <w:r w:rsidR="00565D49">
        <w:t>A five</w:t>
      </w:r>
      <w:r w:rsidR="00565D49">
        <w:noBreakHyphen/>
        <w:t xml:space="preserve">year </w:t>
      </w:r>
      <w:r>
        <w:t>Plan</w:t>
      </w:r>
      <w:r w:rsidR="00565D49">
        <w:t xml:space="preserve"> guiding recruiting, enrollment, persistency, retention, and completion efforts aligned with</w:t>
      </w:r>
      <w:r>
        <w:t xml:space="preserve"> Educational Planning at Taft College. </w:t>
      </w:r>
    </w:p>
    <w:p w14:paraId="2F0D2497" w14:textId="7CF340A1" w:rsidR="00C15415" w:rsidRDefault="00C15415" w:rsidP="00770D94">
      <w:pPr>
        <w:pStyle w:val="Heading1"/>
      </w:pPr>
      <w:bookmarkStart w:id="96" w:name="_Toc194931248"/>
      <w:bookmarkStart w:id="97" w:name="_Toc194931573"/>
      <w:r>
        <w:t>Trends and Planning Assumptions</w:t>
      </w:r>
      <w:bookmarkEnd w:id="96"/>
      <w:bookmarkEnd w:id="97"/>
      <w:r>
        <w:t xml:space="preserve"> </w:t>
      </w:r>
    </w:p>
    <w:p w14:paraId="25E9726C" w14:textId="7A0089DF" w:rsidR="000A7AA2" w:rsidRPr="000A7AA2" w:rsidRDefault="000A7AA2" w:rsidP="000A7AA2">
      <w:r w:rsidRPr="000A7AA2">
        <w:t xml:space="preserve">The trends and planning assumptions are based on internal and external scans, including </w:t>
      </w:r>
      <w:r>
        <w:t>phases I and II</w:t>
      </w:r>
      <w:r w:rsidR="00EF1AB3">
        <w:t xml:space="preserve">’s listening sessions </w:t>
      </w:r>
      <w:r>
        <w:t xml:space="preserve">(Appendix </w:t>
      </w:r>
      <w:r w:rsidR="00EF1AB3">
        <w:t>B:Listening Sessions and Emergent Themes)</w:t>
      </w:r>
      <w:r>
        <w:t xml:space="preserve">, </w:t>
      </w:r>
      <w:r w:rsidRPr="000A7AA2">
        <w:t xml:space="preserve">student success data, </w:t>
      </w:r>
      <w:r w:rsidR="00EF1AB3">
        <w:t xml:space="preserve">Student </w:t>
      </w:r>
      <w:r w:rsidRPr="000A7AA2">
        <w:t>survey results</w:t>
      </w:r>
      <w:r>
        <w:t xml:space="preserve"> (Appendix</w:t>
      </w:r>
      <w:r w:rsidR="00EF1AB3">
        <w:t xml:space="preserve"> B: Student Surveys)</w:t>
      </w:r>
      <w:r>
        <w:t xml:space="preserve"> </w:t>
      </w:r>
      <w:r w:rsidRPr="000A7AA2">
        <w:t xml:space="preserve">, and a regional labor market analysis. These assumptions are provided at the national, state, regional, and District/Taft College levels, along with a Taft College Fast Facts infographic summarizing community, student, and outcome data. Supporting data can be found in the Appendix, with additional resources available from the Office of Research and Planning. </w:t>
      </w:r>
    </w:p>
    <w:p w14:paraId="2A0AA517" w14:textId="77777777" w:rsidR="00B43B00" w:rsidRPr="000F3E6D" w:rsidRDefault="00B43B00" w:rsidP="00E1720C">
      <w:pPr>
        <w:pStyle w:val="Heading2"/>
      </w:pPr>
      <w:bookmarkStart w:id="98" w:name="_Toc168762679"/>
      <w:bookmarkStart w:id="99" w:name="_Toc194931249"/>
      <w:bookmarkStart w:id="100" w:name="_Toc194931574"/>
      <w:r w:rsidRPr="000F3E6D">
        <w:t>National Trends</w:t>
      </w:r>
      <w:bookmarkEnd w:id="98"/>
      <w:bookmarkEnd w:id="99"/>
      <w:bookmarkEnd w:id="100"/>
      <w:r w:rsidRPr="000F3E6D">
        <w:t xml:space="preserve"> </w:t>
      </w:r>
    </w:p>
    <w:p w14:paraId="756C22F7" w14:textId="77777777" w:rsidR="00B43B00" w:rsidRDefault="00B43B00" w:rsidP="005F60E4">
      <w:bookmarkStart w:id="101" w:name="_Toc194324196"/>
      <w:r>
        <w:t>Enrollment</w:t>
      </w:r>
      <w:bookmarkEnd w:id="101"/>
    </w:p>
    <w:p w14:paraId="50866619" w14:textId="5A95E1D4" w:rsidR="00B43B00" w:rsidRPr="00E6452D" w:rsidRDefault="00B43B00" w:rsidP="00B43B00">
      <w:r w:rsidRPr="00E6452D">
        <w:t xml:space="preserve">The </w:t>
      </w:r>
      <w:r w:rsidR="00BC2144">
        <w:t>COVID-19 pandemic</w:t>
      </w:r>
      <w:r w:rsidRPr="00E6452D">
        <w:t xml:space="preserve"> prompted many changes, including </w:t>
      </w:r>
      <w:r w:rsidR="00D62DEB">
        <w:t xml:space="preserve">those </w:t>
      </w:r>
      <w:r w:rsidRPr="00E6452D">
        <w:t xml:space="preserve">at </w:t>
      </w:r>
      <w:r w:rsidR="00BB1834">
        <w:t>two</w:t>
      </w:r>
      <w:r w:rsidRPr="00E6452D">
        <w:t>-year colleges, where enrollment decreased and teaching and learning rapidly shifted to online.</w:t>
      </w:r>
    </w:p>
    <w:p w14:paraId="4F07BD66" w14:textId="77777777" w:rsidR="00B43B00" w:rsidRPr="00E6452D" w:rsidRDefault="00B43B00" w:rsidP="00B43B00">
      <w:r w:rsidRPr="00E6452D">
        <w:t>Nationally, the overall college</w:t>
      </w:r>
      <w:r>
        <w:t>-</w:t>
      </w:r>
      <w:r w:rsidRPr="00E6452D">
        <w:t>going rate decreased from 41% to 38% between 2010 and 2021, driven specifically by the decrease in the college enrollment rate at 2-year institutions, which fell from 13% to 8% in the same time period (</w:t>
      </w:r>
      <w:hyperlink r:id="rId28" w:history="1">
        <w:r w:rsidRPr="00E6452D">
          <w:rPr>
            <w:color w:val="0563C1" w:themeColor="hyperlink"/>
            <w:u w:val="single"/>
          </w:rPr>
          <w:t>National Center for Education Statistics</w:t>
        </w:r>
      </w:hyperlink>
      <w:r w:rsidRPr="00E6452D">
        <w:t>).</w:t>
      </w:r>
    </w:p>
    <w:p w14:paraId="5DADDB1D" w14:textId="47C845CF" w:rsidR="00B43B00" w:rsidRPr="00E6452D" w:rsidRDefault="00B43B00" w:rsidP="00D62DEB">
      <w:pPr>
        <w:spacing w:after="0"/>
      </w:pPr>
      <w:r w:rsidRPr="00E6452D">
        <w:t xml:space="preserve">College enrollment continued to decline during the </w:t>
      </w:r>
      <w:r w:rsidR="00BC2144">
        <w:t>COVID-19 pandemic</w:t>
      </w:r>
      <w:r w:rsidRPr="00E6452D">
        <w:t xml:space="preserve"> but began to rebound in 2023. According to the Research Center at the National Student Clearinghouse (</w:t>
      </w:r>
      <w:hyperlink r:id="rId29" w:history="1">
        <w:r w:rsidRPr="00E6452D">
          <w:rPr>
            <w:color w:val="0563C1" w:themeColor="hyperlink"/>
            <w:u w:val="single"/>
          </w:rPr>
          <w:t>reported October 26, 2023</w:t>
        </w:r>
      </w:hyperlink>
      <w:r w:rsidRPr="00E6452D">
        <w:t>) students are gravitating to shorter-term credentials rather than longer-term degrees. Enrollment growth is attributed to increased dual enrollment and increased enrollment by Black, Latinx</w:t>
      </w:r>
      <w:r>
        <w:t>,</w:t>
      </w:r>
      <w:r w:rsidRPr="00E6452D">
        <w:t xml:space="preserve"> and Asian students. White student enrollment continues to decrease.</w:t>
      </w:r>
      <w:r w:rsidR="00D62DEB">
        <w:br/>
      </w:r>
      <w:r w:rsidR="00D62DEB">
        <w:br/>
      </w:r>
      <w:r w:rsidRPr="00E6452D">
        <w:t xml:space="preserve">In fall 2023, undergraduate enrollment grew by 1.2%, the first increase since the </w:t>
      </w:r>
      <w:r w:rsidR="00BC2144">
        <w:t>COVID-19 pandemic</w:t>
      </w:r>
      <w:r w:rsidRPr="00E6452D">
        <w:t xml:space="preserve">, with </w:t>
      </w:r>
      <w:r w:rsidR="00D62DEB">
        <w:t>two</w:t>
      </w:r>
      <w:r w:rsidRPr="00E6452D">
        <w:t>-year colleges posting the highest growth at 2.6% (</w:t>
      </w:r>
      <w:hyperlink r:id="rId30" w:history="1">
        <w:r w:rsidRPr="00E6452D">
          <w:rPr>
            <w:color w:val="0563C1" w:themeColor="hyperlink"/>
            <w:u w:val="single"/>
          </w:rPr>
          <w:t>reported January 24, 2024</w:t>
        </w:r>
      </w:hyperlink>
      <w:r w:rsidRPr="00E6452D">
        <w:t>).</w:t>
      </w:r>
    </w:p>
    <w:p w14:paraId="04EE49D3" w14:textId="77777777" w:rsidR="005F60E4" w:rsidRDefault="005F60E4" w:rsidP="005F60E4">
      <w:bookmarkStart w:id="102" w:name="_Toc194324197"/>
    </w:p>
    <w:p w14:paraId="4C8B9F50" w14:textId="218EF8DF" w:rsidR="00B43B00" w:rsidRPr="00E6452D" w:rsidRDefault="00B43B00" w:rsidP="005F60E4">
      <w:r>
        <w:t>Trends Impacting Teaching and Learning</w:t>
      </w:r>
      <w:bookmarkEnd w:id="102"/>
    </w:p>
    <w:p w14:paraId="0ED8EA85" w14:textId="1477CA85" w:rsidR="00304503" w:rsidRDefault="00B43B00" w:rsidP="00B13BA0">
      <w:pPr>
        <w:spacing w:after="0"/>
        <w:rPr>
          <w:color w:val="000000" w:themeColor="text1"/>
        </w:rPr>
      </w:pPr>
      <w:r w:rsidRPr="00E6452D">
        <w:t xml:space="preserve">EDUCAUSE, whose mission is to advance higher education focusing on technology, has identified national trends </w:t>
      </w:r>
      <w:r>
        <w:t xml:space="preserve">impacting teaching and learning </w:t>
      </w:r>
      <w:r w:rsidRPr="00E6452D">
        <w:t xml:space="preserve">in their </w:t>
      </w:r>
      <w:hyperlink r:id="rId31" w:history="1">
        <w:r w:rsidRPr="00FA1E18">
          <w:rPr>
            <w:rStyle w:val="Hyperlink"/>
          </w:rPr>
          <w:t>2024 Horizon Report: Teaching and Learning.</w:t>
        </w:r>
      </w:hyperlink>
      <w:r>
        <w:rPr>
          <w:color w:val="0563C1" w:themeColor="hyperlink"/>
          <w:u w:val="single"/>
        </w:rPr>
        <w:t xml:space="preserve"> </w:t>
      </w:r>
      <w:r w:rsidRPr="00DD428B">
        <w:rPr>
          <w:color w:val="000000" w:themeColor="text1"/>
        </w:rPr>
        <w:t xml:space="preserve">Highlights from </w:t>
      </w:r>
      <w:r>
        <w:rPr>
          <w:color w:val="000000" w:themeColor="text1"/>
        </w:rPr>
        <w:t xml:space="preserve">EDUCAUSE and </w:t>
      </w:r>
      <w:r w:rsidRPr="00DD428B">
        <w:rPr>
          <w:color w:val="000000" w:themeColor="text1"/>
        </w:rPr>
        <w:t>that report include:</w:t>
      </w:r>
      <w:r>
        <w:rPr>
          <w:color w:val="000000" w:themeColor="text1"/>
        </w:rPr>
        <w:t xml:space="preserve"> </w:t>
      </w:r>
      <w:bookmarkStart w:id="103" w:name="_Toc168762680"/>
    </w:p>
    <w:p w14:paraId="09E128F8" w14:textId="77777777" w:rsidR="00B13BA0" w:rsidRPr="00B13BA0" w:rsidRDefault="00B13BA0" w:rsidP="00B13BA0">
      <w:pPr>
        <w:spacing w:after="0"/>
        <w:rPr>
          <w:color w:val="000000" w:themeColor="text1"/>
        </w:rPr>
      </w:pPr>
    </w:p>
    <w:p w14:paraId="7647D6FD" w14:textId="1E2F122C" w:rsidR="00B43B00" w:rsidRPr="00752A2E" w:rsidRDefault="00B43B00" w:rsidP="00F16EFC">
      <w:r w:rsidRPr="00752A2E">
        <w:t xml:space="preserve">Social </w:t>
      </w:r>
    </w:p>
    <w:p w14:paraId="3D0FA4F7" w14:textId="77777777" w:rsidR="00B43B00" w:rsidRPr="00304503" w:rsidRDefault="00B43B00" w:rsidP="005761F9">
      <w:pPr>
        <w:pStyle w:val="ListParagraph"/>
        <w:numPr>
          <w:ilvl w:val="0"/>
          <w:numId w:val="40"/>
        </w:numPr>
        <w:rPr>
          <w:b/>
          <w:bCs/>
        </w:rPr>
      </w:pPr>
      <w:r w:rsidRPr="00381267">
        <w:t xml:space="preserve">Public perception of the value of higher education is declining. </w:t>
      </w:r>
    </w:p>
    <w:p w14:paraId="1C3877B7" w14:textId="77777777" w:rsidR="00B43B00" w:rsidRPr="00304503" w:rsidRDefault="00B43B00" w:rsidP="005761F9">
      <w:pPr>
        <w:pStyle w:val="ListParagraph"/>
        <w:numPr>
          <w:ilvl w:val="0"/>
          <w:numId w:val="40"/>
        </w:numPr>
        <w:rPr>
          <w:b/>
          <w:bCs/>
        </w:rPr>
      </w:pPr>
      <w:r w:rsidRPr="00381267">
        <w:t xml:space="preserve">Student demographics are changing. </w:t>
      </w:r>
    </w:p>
    <w:p w14:paraId="127A6D8B" w14:textId="44127DFA" w:rsidR="00B43B00" w:rsidRPr="00B13BA0" w:rsidRDefault="00B43B00" w:rsidP="005761F9">
      <w:pPr>
        <w:pStyle w:val="ListParagraph"/>
        <w:numPr>
          <w:ilvl w:val="0"/>
          <w:numId w:val="40"/>
        </w:numPr>
        <w:rPr>
          <w:b/>
          <w:bCs/>
        </w:rPr>
      </w:pPr>
      <w:r w:rsidRPr="00381267">
        <w:t xml:space="preserve">Students are increasingly demanding access to learning anytime, anywhere. </w:t>
      </w:r>
    </w:p>
    <w:p w14:paraId="7DC93413" w14:textId="77777777" w:rsidR="00B43B00" w:rsidRPr="00752A2E" w:rsidRDefault="00B43B00" w:rsidP="00F16EFC">
      <w:r w:rsidRPr="00752A2E">
        <w:t xml:space="preserve">Technological </w:t>
      </w:r>
    </w:p>
    <w:p w14:paraId="2ADFC127" w14:textId="77777777" w:rsidR="00B43B00" w:rsidRPr="00304503" w:rsidRDefault="00B43B00" w:rsidP="005761F9">
      <w:pPr>
        <w:pStyle w:val="ListParagraph"/>
        <w:numPr>
          <w:ilvl w:val="0"/>
          <w:numId w:val="40"/>
        </w:numPr>
        <w:rPr>
          <w:b/>
          <w:bCs/>
        </w:rPr>
      </w:pPr>
      <w:r w:rsidRPr="00381267">
        <w:t xml:space="preserve">Concerns about cybersecurity and privacy are increasing. </w:t>
      </w:r>
    </w:p>
    <w:p w14:paraId="6501BF92" w14:textId="77777777" w:rsidR="00B43B00" w:rsidRPr="00304503" w:rsidRDefault="00B43B00" w:rsidP="005761F9">
      <w:pPr>
        <w:pStyle w:val="ListParagraph"/>
        <w:numPr>
          <w:ilvl w:val="0"/>
          <w:numId w:val="40"/>
        </w:numPr>
        <w:rPr>
          <w:b/>
          <w:bCs/>
        </w:rPr>
      </w:pPr>
      <w:r w:rsidRPr="00381267">
        <w:lastRenderedPageBreak/>
        <w:t xml:space="preserve">The use of learning analytics continues to rise. </w:t>
      </w:r>
    </w:p>
    <w:p w14:paraId="39E959F8" w14:textId="5A266509" w:rsidR="00B43B00" w:rsidRPr="00B13BA0" w:rsidRDefault="00B43B00" w:rsidP="005761F9">
      <w:pPr>
        <w:pStyle w:val="ListParagraph"/>
        <w:numPr>
          <w:ilvl w:val="0"/>
          <w:numId w:val="40"/>
        </w:numPr>
        <w:rPr>
          <w:b/>
          <w:bCs/>
        </w:rPr>
      </w:pPr>
      <w:r w:rsidRPr="00381267">
        <w:t xml:space="preserve">The digital divide persists. </w:t>
      </w:r>
    </w:p>
    <w:p w14:paraId="482D4CDF" w14:textId="77777777" w:rsidR="00B43B00" w:rsidRPr="00752A2E" w:rsidRDefault="00B43B00" w:rsidP="00F16EFC">
      <w:r w:rsidRPr="00752A2E">
        <w:t xml:space="preserve">Economic </w:t>
      </w:r>
    </w:p>
    <w:p w14:paraId="0CEACF52" w14:textId="77777777" w:rsidR="00B43B00" w:rsidRPr="00304503" w:rsidRDefault="00B43B00" w:rsidP="005761F9">
      <w:pPr>
        <w:pStyle w:val="ListParagraph"/>
        <w:numPr>
          <w:ilvl w:val="0"/>
          <w:numId w:val="40"/>
        </w:numPr>
        <w:rPr>
          <w:b/>
          <w:bCs/>
        </w:rPr>
      </w:pPr>
      <w:r w:rsidRPr="00381267">
        <w:t xml:space="preserve">The demand for and focus on workforce skills is growing. </w:t>
      </w:r>
    </w:p>
    <w:p w14:paraId="27203B22" w14:textId="77777777" w:rsidR="00B43B00" w:rsidRPr="00304503" w:rsidRDefault="00B43B00" w:rsidP="005761F9">
      <w:pPr>
        <w:pStyle w:val="ListParagraph"/>
        <w:numPr>
          <w:ilvl w:val="0"/>
          <w:numId w:val="40"/>
        </w:numPr>
        <w:rPr>
          <w:b/>
          <w:bCs/>
        </w:rPr>
      </w:pPr>
      <w:r w:rsidRPr="00381267">
        <w:t xml:space="preserve">Challenges for employee retention are increasing. </w:t>
      </w:r>
    </w:p>
    <w:p w14:paraId="1E5AA06A" w14:textId="5EFE3884" w:rsidR="00B43B00" w:rsidRPr="007D2B75" w:rsidRDefault="00B43B00" w:rsidP="005761F9">
      <w:pPr>
        <w:pStyle w:val="ListParagraph"/>
        <w:numPr>
          <w:ilvl w:val="0"/>
          <w:numId w:val="40"/>
        </w:numPr>
        <w:rPr>
          <w:b/>
          <w:bCs/>
        </w:rPr>
      </w:pPr>
      <w:r w:rsidRPr="00381267">
        <w:t xml:space="preserve">Student debt is increasingly impacting students’ enrollment decisions. </w:t>
      </w:r>
    </w:p>
    <w:p w14:paraId="15C8BA55" w14:textId="77777777" w:rsidR="00B43B00" w:rsidRPr="00304503" w:rsidRDefault="00B43B00" w:rsidP="00F16EFC">
      <w:pPr>
        <w:rPr>
          <w:b/>
          <w:bCs/>
        </w:rPr>
      </w:pPr>
      <w:r w:rsidRPr="003E76BE">
        <w:t>Environmental</w:t>
      </w:r>
      <w:r w:rsidRPr="00381267">
        <w:t xml:space="preserve"> </w:t>
      </w:r>
    </w:p>
    <w:p w14:paraId="50A10EB8" w14:textId="77777777" w:rsidR="00B43B00" w:rsidRPr="00304503" w:rsidRDefault="00B43B00" w:rsidP="005761F9">
      <w:pPr>
        <w:pStyle w:val="ListParagraph"/>
        <w:numPr>
          <w:ilvl w:val="0"/>
          <w:numId w:val="40"/>
        </w:numPr>
        <w:rPr>
          <w:b/>
          <w:bCs/>
        </w:rPr>
      </w:pPr>
      <w:r w:rsidRPr="00381267">
        <w:t xml:space="preserve">Higher ed institutions are increasing their commitment to sustainability. </w:t>
      </w:r>
    </w:p>
    <w:p w14:paraId="4DBE7964" w14:textId="77777777" w:rsidR="00B43B00" w:rsidRPr="00304503" w:rsidRDefault="00B43B00" w:rsidP="005761F9">
      <w:pPr>
        <w:pStyle w:val="ListParagraph"/>
        <w:numPr>
          <w:ilvl w:val="0"/>
          <w:numId w:val="40"/>
        </w:numPr>
        <w:rPr>
          <w:b/>
          <w:bCs/>
        </w:rPr>
      </w:pPr>
      <w:r w:rsidRPr="00381267">
        <w:t xml:space="preserve">Concerns about the impact of big data tools on the environment are rising. </w:t>
      </w:r>
    </w:p>
    <w:p w14:paraId="085A10D6" w14:textId="3ACA1904" w:rsidR="00B43B00" w:rsidRPr="00B13BA0" w:rsidRDefault="00B43B00" w:rsidP="005761F9">
      <w:pPr>
        <w:pStyle w:val="ListParagraph"/>
        <w:numPr>
          <w:ilvl w:val="0"/>
          <w:numId w:val="40"/>
        </w:numPr>
        <w:rPr>
          <w:b/>
          <w:bCs/>
        </w:rPr>
      </w:pPr>
      <w:r w:rsidRPr="00381267">
        <w:t xml:space="preserve">The demand for green skills in the workforce is increasing. </w:t>
      </w:r>
    </w:p>
    <w:p w14:paraId="0244A7E1" w14:textId="77777777" w:rsidR="00B43B00" w:rsidRPr="00304503" w:rsidRDefault="00B43B00" w:rsidP="00F16EFC">
      <w:pPr>
        <w:rPr>
          <w:b/>
          <w:bCs/>
        </w:rPr>
      </w:pPr>
      <w:r w:rsidRPr="00381267">
        <w:t xml:space="preserve">Political </w:t>
      </w:r>
    </w:p>
    <w:p w14:paraId="1EE916D1" w14:textId="77777777" w:rsidR="00B43B00" w:rsidRPr="00304503" w:rsidRDefault="00B43B00" w:rsidP="005761F9">
      <w:pPr>
        <w:pStyle w:val="ListParagraph"/>
        <w:numPr>
          <w:ilvl w:val="0"/>
          <w:numId w:val="40"/>
        </w:numPr>
        <w:rPr>
          <w:b/>
          <w:bCs/>
        </w:rPr>
      </w:pPr>
      <w:r w:rsidRPr="00381267">
        <w:t xml:space="preserve">Political polarization in the United States continues to impact higher education. </w:t>
      </w:r>
    </w:p>
    <w:p w14:paraId="6F1D0C9E" w14:textId="77777777" w:rsidR="00B43B00" w:rsidRPr="00304503" w:rsidRDefault="00B43B00" w:rsidP="005761F9">
      <w:pPr>
        <w:pStyle w:val="ListParagraph"/>
        <w:numPr>
          <w:ilvl w:val="0"/>
          <w:numId w:val="40"/>
        </w:numPr>
        <w:rPr>
          <w:b/>
          <w:bCs/>
        </w:rPr>
      </w:pPr>
      <w:r w:rsidRPr="00381267">
        <w:t xml:space="preserve">Government policy is increasingly influencing education. </w:t>
      </w:r>
    </w:p>
    <w:p w14:paraId="0B3F9C99" w14:textId="0B080D24" w:rsidR="00B43B00" w:rsidRPr="00B13BA0" w:rsidRDefault="00B43B00" w:rsidP="005761F9">
      <w:pPr>
        <w:pStyle w:val="ListParagraph"/>
        <w:numPr>
          <w:ilvl w:val="0"/>
          <w:numId w:val="40"/>
        </w:numPr>
        <w:rPr>
          <w:b/>
          <w:bCs/>
        </w:rPr>
      </w:pPr>
      <w:r w:rsidRPr="00381267">
        <w:t xml:space="preserve">The need is growing for policies that address emerging technologies. </w:t>
      </w:r>
    </w:p>
    <w:p w14:paraId="226749FD" w14:textId="77777777" w:rsidR="00B43B00" w:rsidRPr="00304503" w:rsidRDefault="00B43B00" w:rsidP="00F16EFC">
      <w:pPr>
        <w:rPr>
          <w:b/>
          <w:bCs/>
        </w:rPr>
      </w:pPr>
      <w:r w:rsidRPr="00381267">
        <w:t xml:space="preserve">Honorary AI Trends </w:t>
      </w:r>
    </w:p>
    <w:p w14:paraId="11717D69" w14:textId="5A2935D8" w:rsidR="00B43B00" w:rsidRPr="00304503" w:rsidRDefault="00B43B00" w:rsidP="005761F9">
      <w:pPr>
        <w:pStyle w:val="ListParagraph"/>
        <w:numPr>
          <w:ilvl w:val="0"/>
          <w:numId w:val="40"/>
        </w:numPr>
        <w:rPr>
          <w:b/>
          <w:bCs/>
        </w:rPr>
      </w:pPr>
      <w:r w:rsidRPr="00381267">
        <w:t>AI is changing the way we communicate</w:t>
      </w:r>
      <w:r w:rsidRPr="00304503">
        <w:rPr>
          <w:b/>
          <w:bCs/>
        </w:rPr>
        <w:t>.</w:t>
      </w:r>
    </w:p>
    <w:p w14:paraId="6F8E2F6C" w14:textId="1DD39C8B" w:rsidR="00B43B00" w:rsidRPr="00304503" w:rsidRDefault="00B43B00" w:rsidP="005761F9">
      <w:pPr>
        <w:pStyle w:val="ListParagraph"/>
        <w:numPr>
          <w:ilvl w:val="0"/>
          <w:numId w:val="40"/>
        </w:numPr>
        <w:rPr>
          <w:b/>
          <w:bCs/>
        </w:rPr>
      </w:pPr>
      <w:r w:rsidRPr="00BE1380">
        <w:t xml:space="preserve">AI tools have growing potential to reshape pedagogy and student experiences. </w:t>
      </w:r>
    </w:p>
    <w:p w14:paraId="3CBE2B22" w14:textId="77777777" w:rsidR="00B43B00" w:rsidRPr="00304503" w:rsidRDefault="00B43B00" w:rsidP="005761F9">
      <w:pPr>
        <w:pStyle w:val="ListParagraph"/>
        <w:numPr>
          <w:ilvl w:val="0"/>
          <w:numId w:val="40"/>
        </w:numPr>
        <w:rPr>
          <w:b/>
          <w:bCs/>
        </w:rPr>
      </w:pPr>
      <w:r w:rsidRPr="00381267">
        <w:t xml:space="preserve">AI is increasingly having an impact on the economy and workforce. </w:t>
      </w:r>
    </w:p>
    <w:p w14:paraId="493BB406" w14:textId="77777777" w:rsidR="00B43B00" w:rsidRPr="00304503" w:rsidRDefault="00B43B00" w:rsidP="005761F9">
      <w:pPr>
        <w:pStyle w:val="ListParagraph"/>
        <w:numPr>
          <w:ilvl w:val="0"/>
          <w:numId w:val="40"/>
        </w:numPr>
        <w:rPr>
          <w:b/>
          <w:bCs/>
        </w:rPr>
      </w:pPr>
      <w:r w:rsidRPr="00381267">
        <w:t>AI is increasingly being used to address climate change and sustainability issues.</w:t>
      </w:r>
    </w:p>
    <w:p w14:paraId="66899C94" w14:textId="6511980F" w:rsidR="00B43B00" w:rsidRPr="00BB1834" w:rsidRDefault="00B43B00" w:rsidP="005761F9">
      <w:pPr>
        <w:pStyle w:val="ListParagraph"/>
        <w:numPr>
          <w:ilvl w:val="0"/>
          <w:numId w:val="40"/>
        </w:numPr>
      </w:pPr>
      <w:r w:rsidRPr="00BB1834">
        <w:t xml:space="preserve">The potential for the use of AI in politics is growing. </w:t>
      </w:r>
    </w:p>
    <w:p w14:paraId="4848C2D1" w14:textId="77777777" w:rsidR="00B43B00" w:rsidRPr="008C3B00" w:rsidRDefault="00B43B00" w:rsidP="00E1720C">
      <w:pPr>
        <w:pStyle w:val="Heading2"/>
      </w:pPr>
      <w:bookmarkStart w:id="104" w:name="_Toc194931250"/>
      <w:bookmarkStart w:id="105" w:name="_Toc194931575"/>
      <w:r w:rsidRPr="008C3B00">
        <w:t>State</w:t>
      </w:r>
      <w:r>
        <w:t xml:space="preserve"> Trends</w:t>
      </w:r>
      <w:bookmarkEnd w:id="103"/>
      <w:bookmarkEnd w:id="104"/>
      <w:bookmarkEnd w:id="105"/>
      <w:r>
        <w:t xml:space="preserve"> </w:t>
      </w:r>
    </w:p>
    <w:p w14:paraId="2A6698BB" w14:textId="77777777" w:rsidR="00B43B00" w:rsidRPr="00523B3E" w:rsidRDefault="00B43B00" w:rsidP="005F60E4">
      <w:bookmarkStart w:id="106" w:name="_Toc168762681"/>
      <w:bookmarkStart w:id="107" w:name="_Toc194324199"/>
      <w:r w:rsidRPr="00523B3E">
        <w:t>Enrollment and Program Development</w:t>
      </w:r>
      <w:bookmarkEnd w:id="106"/>
      <w:bookmarkEnd w:id="107"/>
    </w:p>
    <w:p w14:paraId="3CFDF861" w14:textId="2F5300CA" w:rsidR="00B43B00" w:rsidRPr="00E5354C" w:rsidRDefault="00B43B00" w:rsidP="005761F9">
      <w:pPr>
        <w:pStyle w:val="ListParagraph"/>
        <w:numPr>
          <w:ilvl w:val="0"/>
          <w:numId w:val="7"/>
        </w:numPr>
        <w:spacing w:after="160" w:line="259" w:lineRule="auto"/>
        <w:rPr>
          <w:rFonts w:cstheme="minorHAnsi"/>
        </w:rPr>
      </w:pPr>
      <w:r w:rsidRPr="00523B3E">
        <w:rPr>
          <w:rFonts w:cstheme="minorHAnsi"/>
        </w:rPr>
        <w:t>Statewide</w:t>
      </w:r>
      <w:r w:rsidRPr="00E5354C">
        <w:rPr>
          <w:rFonts w:cstheme="minorHAnsi"/>
        </w:rPr>
        <w:t xml:space="preserve">, enrollment in California Community Colleges dropped during the </w:t>
      </w:r>
      <w:r w:rsidR="00BC2144">
        <w:rPr>
          <w:rFonts w:cstheme="minorHAnsi"/>
        </w:rPr>
        <w:t>COVID-19 pandemic</w:t>
      </w:r>
      <w:r w:rsidRPr="00E5354C">
        <w:rPr>
          <w:rFonts w:cstheme="minorHAnsi"/>
        </w:rPr>
        <w:t xml:space="preserve"> but began to rebound in the 2022-2023 academic year.</w:t>
      </w:r>
    </w:p>
    <w:p w14:paraId="762E6EC9" w14:textId="77777777" w:rsidR="00B43B00" w:rsidRDefault="00B43B00" w:rsidP="005761F9">
      <w:pPr>
        <w:pStyle w:val="ListParagraph"/>
        <w:numPr>
          <w:ilvl w:val="0"/>
          <w:numId w:val="7"/>
        </w:numPr>
        <w:spacing w:after="160" w:line="259" w:lineRule="auto"/>
        <w:rPr>
          <w:rFonts w:cstheme="minorHAnsi"/>
        </w:rPr>
      </w:pPr>
      <w:r w:rsidRPr="00E5354C">
        <w:rPr>
          <w:rFonts w:cstheme="minorHAnsi"/>
        </w:rPr>
        <w:t xml:space="preserve">Career and Technical Education (CTE) </w:t>
      </w:r>
      <w:r>
        <w:rPr>
          <w:rFonts w:cstheme="minorHAnsi"/>
        </w:rPr>
        <w:t>is</w:t>
      </w:r>
      <w:r w:rsidRPr="00E5354C">
        <w:rPr>
          <w:rFonts w:cstheme="minorHAnsi"/>
        </w:rPr>
        <w:t xml:space="preserve"> play</w:t>
      </w:r>
      <w:r>
        <w:rPr>
          <w:rFonts w:cstheme="minorHAnsi"/>
        </w:rPr>
        <w:t>ing</w:t>
      </w:r>
      <w:r w:rsidRPr="00E5354C">
        <w:rPr>
          <w:rFonts w:cstheme="minorHAnsi"/>
        </w:rPr>
        <w:t xml:space="preserve"> an increasingly significant role in </w:t>
      </w:r>
      <w:r>
        <w:rPr>
          <w:rFonts w:cstheme="minorHAnsi"/>
        </w:rPr>
        <w:t xml:space="preserve">California </w:t>
      </w:r>
      <w:r w:rsidRPr="00E5354C">
        <w:rPr>
          <w:rFonts w:cstheme="minorHAnsi"/>
        </w:rPr>
        <w:t>community college education</w:t>
      </w:r>
      <w:r>
        <w:rPr>
          <w:rFonts w:cstheme="minorHAnsi"/>
        </w:rPr>
        <w:t>, focusing</w:t>
      </w:r>
      <w:r w:rsidRPr="00E5354C">
        <w:rPr>
          <w:rFonts w:cstheme="minorHAnsi"/>
        </w:rPr>
        <w:t xml:space="preserve"> on training for jobs that lead to a Living Wage.</w:t>
      </w:r>
    </w:p>
    <w:p w14:paraId="6E5D1525" w14:textId="6E335E71" w:rsidR="00B43B00" w:rsidRPr="00E5354C" w:rsidRDefault="00B43B00" w:rsidP="005761F9">
      <w:pPr>
        <w:pStyle w:val="ListParagraph"/>
        <w:numPr>
          <w:ilvl w:val="0"/>
          <w:numId w:val="7"/>
        </w:numPr>
        <w:spacing w:after="160" w:line="259" w:lineRule="auto"/>
        <w:rPr>
          <w:rFonts w:cstheme="minorHAnsi"/>
        </w:rPr>
      </w:pPr>
      <w:r>
        <w:rPr>
          <w:rFonts w:cstheme="minorHAnsi"/>
        </w:rPr>
        <w:t>Statewide and regionally, community colleges are focusing on developing credit and noncredit short</w:t>
      </w:r>
      <w:r w:rsidR="00FF6A49">
        <w:rPr>
          <w:rFonts w:cstheme="minorHAnsi"/>
        </w:rPr>
        <w:noBreakHyphen/>
      </w:r>
      <w:r>
        <w:rPr>
          <w:rFonts w:cstheme="minorHAnsi"/>
        </w:rPr>
        <w:t>term certificates tied to local workforce opportunities. This trend will have a significant impact on student demand.</w:t>
      </w:r>
      <w:r w:rsidRPr="00E5354C">
        <w:rPr>
          <w:rFonts w:cstheme="minorHAnsi"/>
        </w:rPr>
        <w:t xml:space="preserve"> </w:t>
      </w:r>
    </w:p>
    <w:p w14:paraId="04011DA9" w14:textId="77777777" w:rsidR="00B43B00" w:rsidRPr="00523B3E" w:rsidRDefault="00B43B00" w:rsidP="005F60E4">
      <w:bookmarkStart w:id="108" w:name="_Toc168762682"/>
      <w:bookmarkStart w:id="109" w:name="_Toc194324200"/>
      <w:r w:rsidRPr="00523B3E">
        <w:t>Policy and Initiatives</w:t>
      </w:r>
      <w:bookmarkEnd w:id="108"/>
      <w:bookmarkEnd w:id="109"/>
    </w:p>
    <w:p w14:paraId="39DBA18E" w14:textId="1544F17E" w:rsidR="00B43B00" w:rsidRPr="00E5354C" w:rsidRDefault="00B43B00" w:rsidP="005761F9">
      <w:pPr>
        <w:pStyle w:val="ListParagraph"/>
        <w:numPr>
          <w:ilvl w:val="0"/>
          <w:numId w:val="7"/>
        </w:numPr>
        <w:spacing w:after="160" w:line="259" w:lineRule="auto"/>
        <w:rPr>
          <w:rFonts w:cstheme="minorHAnsi"/>
        </w:rPr>
      </w:pPr>
      <w:r w:rsidRPr="00E5354C">
        <w:rPr>
          <w:rFonts w:cstheme="minorHAnsi"/>
        </w:rPr>
        <w:t xml:space="preserve">The success of California community college students will remain a top priority of statewide policy makers, and the </w:t>
      </w:r>
      <w:r>
        <w:rPr>
          <w:rFonts w:cstheme="minorHAnsi"/>
        </w:rPr>
        <w:t xml:space="preserve">California Community Colleges </w:t>
      </w:r>
      <w:r w:rsidRPr="00E5354C">
        <w:rPr>
          <w:rFonts w:cstheme="minorHAnsi"/>
        </w:rPr>
        <w:t>Chancellor’s Office</w:t>
      </w:r>
      <w:r>
        <w:rPr>
          <w:rFonts w:cstheme="minorHAnsi"/>
        </w:rPr>
        <w:t xml:space="preserve"> (CCCCO)</w:t>
      </w:r>
      <w:r w:rsidRPr="00E5354C">
        <w:rPr>
          <w:rFonts w:cstheme="minorHAnsi"/>
        </w:rPr>
        <w:t xml:space="preserve"> is supporting this agenda </w:t>
      </w:r>
      <w:r>
        <w:rPr>
          <w:rFonts w:cstheme="minorHAnsi"/>
        </w:rPr>
        <w:t>by</w:t>
      </w:r>
      <w:r w:rsidRPr="00E5354C">
        <w:rPr>
          <w:rFonts w:cstheme="minorHAnsi"/>
        </w:rPr>
        <w:t xml:space="preserve"> funding incentives </w:t>
      </w:r>
      <w:r>
        <w:rPr>
          <w:rFonts w:cstheme="minorHAnsi"/>
        </w:rPr>
        <w:t>with</w:t>
      </w:r>
      <w:r w:rsidRPr="00E5354C">
        <w:rPr>
          <w:rFonts w:cstheme="minorHAnsi"/>
        </w:rPr>
        <w:t xml:space="preserve"> mandated reporting, </w:t>
      </w:r>
      <w:r>
        <w:rPr>
          <w:rFonts w:cstheme="minorHAnsi"/>
        </w:rPr>
        <w:t>including</w:t>
      </w:r>
      <w:r w:rsidRPr="00E5354C">
        <w:rPr>
          <w:rFonts w:cstheme="minorHAnsi"/>
        </w:rPr>
        <w:t xml:space="preserve"> student success data posted publicly on the CCCCO </w:t>
      </w:r>
      <w:r w:rsidR="009A1F0B">
        <w:rPr>
          <w:rFonts w:cstheme="minorHAnsi"/>
        </w:rPr>
        <w:t>DataVista.</w:t>
      </w:r>
    </w:p>
    <w:p w14:paraId="39D1912A" w14:textId="77777777" w:rsidR="00B43B00" w:rsidRPr="00E5354C" w:rsidRDefault="00B43B00" w:rsidP="005761F9">
      <w:pPr>
        <w:pStyle w:val="ListParagraph"/>
        <w:numPr>
          <w:ilvl w:val="0"/>
          <w:numId w:val="7"/>
        </w:numPr>
        <w:spacing w:after="160" w:line="259" w:lineRule="auto"/>
        <w:rPr>
          <w:rFonts w:cstheme="minorHAnsi"/>
        </w:rPr>
      </w:pPr>
      <w:r w:rsidRPr="00E5354C">
        <w:rPr>
          <w:rFonts w:cstheme="minorHAnsi"/>
        </w:rPr>
        <w:t xml:space="preserve">Across the California Community College system, decreasing the cost of education and the </w:t>
      </w:r>
      <w:r>
        <w:rPr>
          <w:rFonts w:cstheme="minorHAnsi"/>
        </w:rPr>
        <w:t>time to completion of a certificate and/or degree will continue to be a top priority with students, families, and policymakers</w:t>
      </w:r>
      <w:r w:rsidRPr="00E5354C">
        <w:rPr>
          <w:rFonts w:cstheme="minorHAnsi"/>
        </w:rPr>
        <w:t xml:space="preserve">. Providing </w:t>
      </w:r>
      <w:r>
        <w:rPr>
          <w:rFonts w:cstheme="minorHAnsi"/>
        </w:rPr>
        <w:t>various</w:t>
      </w:r>
      <w:r w:rsidRPr="00E5354C">
        <w:rPr>
          <w:rFonts w:cstheme="minorHAnsi"/>
        </w:rPr>
        <w:t xml:space="preserve"> student services and basic needs support will also continue to be essential.</w:t>
      </w:r>
    </w:p>
    <w:p w14:paraId="37BAC429" w14:textId="5C9A60BE" w:rsidR="00B43B00" w:rsidRDefault="00B43B00" w:rsidP="005761F9">
      <w:pPr>
        <w:pStyle w:val="ListParagraph"/>
        <w:numPr>
          <w:ilvl w:val="0"/>
          <w:numId w:val="7"/>
        </w:numPr>
        <w:spacing w:after="160" w:line="259" w:lineRule="auto"/>
        <w:rPr>
          <w:rFonts w:cstheme="minorHAnsi"/>
        </w:rPr>
      </w:pPr>
      <w:r w:rsidRPr="00E5354C">
        <w:rPr>
          <w:rFonts w:cstheme="minorHAnsi"/>
        </w:rPr>
        <w:t xml:space="preserve">Meeting the California Community </w:t>
      </w:r>
      <w:r>
        <w:rPr>
          <w:rFonts w:cstheme="minorHAnsi"/>
        </w:rPr>
        <w:t xml:space="preserve">Colleges' Vision for Success and Vision 2030 goals will continue to be </w:t>
      </w:r>
      <w:r w:rsidRPr="00B1763C">
        <w:rPr>
          <w:rFonts w:cstheme="minorHAnsi"/>
        </w:rPr>
        <w:t>important, and community colleges will be expected to build on their success and accelerate the pace of improvement. Work will continue</w:t>
      </w:r>
      <w:r w:rsidR="00C6153B">
        <w:rPr>
          <w:rFonts w:cstheme="minorHAnsi"/>
        </w:rPr>
        <w:t xml:space="preserve"> with</w:t>
      </w:r>
      <w:r w:rsidRPr="00B1763C">
        <w:rPr>
          <w:rFonts w:cstheme="minorHAnsi"/>
        </w:rPr>
        <w:t xml:space="preserve"> prioritizing diversity, equity, inclusion, and accessibility (DEIA) and its impact on Vision 2030 goals, Guided Pathways, and faculty and staff diversification efforts.</w:t>
      </w:r>
    </w:p>
    <w:p w14:paraId="130432D0" w14:textId="46877CE3" w:rsidR="00B43B00" w:rsidRPr="00B1763C" w:rsidRDefault="00B43B00" w:rsidP="005761F9">
      <w:pPr>
        <w:pStyle w:val="ListParagraph"/>
        <w:numPr>
          <w:ilvl w:val="0"/>
          <w:numId w:val="7"/>
        </w:numPr>
        <w:spacing w:after="160" w:line="259" w:lineRule="auto"/>
        <w:rPr>
          <w:rFonts w:cstheme="minorHAnsi"/>
        </w:rPr>
      </w:pPr>
      <w:r w:rsidRPr="00B1763C">
        <w:rPr>
          <w:rFonts w:cstheme="minorHAnsi"/>
        </w:rPr>
        <w:lastRenderedPageBreak/>
        <w:t xml:space="preserve">The California Community College system is also increasing its emphasis on </w:t>
      </w:r>
      <w:r w:rsidR="00C6153B">
        <w:rPr>
          <w:rFonts w:cstheme="minorHAnsi"/>
        </w:rPr>
        <w:t>c</w:t>
      </w:r>
      <w:r w:rsidRPr="00B1763C">
        <w:rPr>
          <w:rFonts w:cstheme="minorHAnsi"/>
        </w:rPr>
        <w:t xml:space="preserve">areer </w:t>
      </w:r>
      <w:r w:rsidR="00C6153B">
        <w:rPr>
          <w:rFonts w:cstheme="minorHAnsi"/>
        </w:rPr>
        <w:t>e</w:t>
      </w:r>
      <w:r w:rsidRPr="00B1763C">
        <w:rPr>
          <w:rFonts w:cstheme="minorHAnsi"/>
        </w:rPr>
        <w:t>ducation, streamlining transfer, and the impact of AI on its colleges and teaching and learning. For more detail on statewide initiatives, review the State</w:t>
      </w:r>
      <w:r w:rsidR="000B4B67">
        <w:rPr>
          <w:rFonts w:cstheme="minorHAnsi"/>
        </w:rPr>
        <w:t xml:space="preserve"> </w:t>
      </w:r>
      <w:r w:rsidRPr="00B1763C">
        <w:rPr>
          <w:rFonts w:cstheme="minorHAnsi"/>
        </w:rPr>
        <w:t>Context section of this report.</w:t>
      </w:r>
    </w:p>
    <w:p w14:paraId="231E07D7" w14:textId="77777777" w:rsidR="00B43B00" w:rsidRPr="00523B3E" w:rsidRDefault="00B43B00" w:rsidP="005F60E4">
      <w:bookmarkStart w:id="110" w:name="_Toc168762683"/>
      <w:bookmarkStart w:id="111" w:name="_Toc194324201"/>
      <w:r w:rsidRPr="00523B3E">
        <w:t>Community College Funding</w:t>
      </w:r>
      <w:bookmarkEnd w:id="110"/>
      <w:bookmarkEnd w:id="111"/>
    </w:p>
    <w:p w14:paraId="521F9860" w14:textId="77777777" w:rsidR="00B43B00" w:rsidRPr="00E5354C" w:rsidRDefault="00B43B00" w:rsidP="005761F9">
      <w:pPr>
        <w:pStyle w:val="NoSpacing"/>
        <w:numPr>
          <w:ilvl w:val="0"/>
          <w:numId w:val="6"/>
        </w:numPr>
        <w:rPr>
          <w:rFonts w:asciiTheme="minorHAnsi" w:hAnsiTheme="minorHAnsi" w:cstheme="minorHAnsi"/>
        </w:rPr>
      </w:pPr>
      <w:r w:rsidRPr="00E5354C">
        <w:rPr>
          <w:rFonts w:asciiTheme="minorHAnsi" w:hAnsiTheme="minorHAnsi" w:cstheme="minorHAnsi"/>
        </w:rPr>
        <w:t>Funding for student support and success measures will continue to be included in the state budget and assigned to specific activities to support student success goals.</w:t>
      </w:r>
    </w:p>
    <w:p w14:paraId="2125697A" w14:textId="77777777" w:rsidR="00B43B00" w:rsidRPr="00E5354C" w:rsidRDefault="00B43B00" w:rsidP="005761F9">
      <w:pPr>
        <w:pStyle w:val="NoSpacing"/>
        <w:numPr>
          <w:ilvl w:val="0"/>
          <w:numId w:val="6"/>
        </w:numPr>
        <w:rPr>
          <w:rFonts w:asciiTheme="minorHAnsi" w:hAnsiTheme="minorHAnsi" w:cstheme="minorHAnsi"/>
        </w:rPr>
      </w:pPr>
      <w:r w:rsidRPr="00E5354C">
        <w:rPr>
          <w:rFonts w:asciiTheme="minorHAnsi" w:hAnsiTheme="minorHAnsi" w:cstheme="minorHAnsi"/>
        </w:rPr>
        <w:t xml:space="preserve">Hold harmless for the Student Centered Funding Formula (SCFF) metrics will end in 2025. It will be </w:t>
      </w:r>
      <w:r>
        <w:rPr>
          <w:rFonts w:asciiTheme="minorHAnsi" w:hAnsiTheme="minorHAnsi" w:cstheme="minorHAnsi"/>
        </w:rPr>
        <w:t>necessary</w:t>
      </w:r>
      <w:r w:rsidRPr="00E5354C">
        <w:rPr>
          <w:rFonts w:asciiTheme="minorHAnsi" w:hAnsiTheme="minorHAnsi" w:cstheme="minorHAnsi"/>
        </w:rPr>
        <w:t xml:space="preserve"> for the College to increase outcomes in all three components: regular enrollment; students receiving a College Promise grant, Pell grant, or covered by AB 540; and student success (degree/certificate completion).</w:t>
      </w:r>
    </w:p>
    <w:p w14:paraId="334C358D" w14:textId="77777777" w:rsidR="00B43B00" w:rsidRPr="00523B3E" w:rsidRDefault="00B43B00" w:rsidP="00C6153B">
      <w:pPr>
        <w:pStyle w:val="NoSpacing"/>
        <w:numPr>
          <w:ilvl w:val="0"/>
          <w:numId w:val="6"/>
        </w:numPr>
        <w:rPr>
          <w:rFonts w:asciiTheme="minorHAnsi" w:hAnsiTheme="minorHAnsi" w:cstheme="minorHAnsi"/>
        </w:rPr>
      </w:pPr>
      <w:r w:rsidRPr="00E5354C">
        <w:rPr>
          <w:rFonts w:asciiTheme="minorHAnsi" w:hAnsiTheme="minorHAnsi" w:cstheme="minorHAnsi"/>
        </w:rPr>
        <w:t xml:space="preserve">The state of California is increasingly relying on local districts to fund new educational facilities </w:t>
      </w:r>
      <w:r w:rsidRPr="00523B3E">
        <w:rPr>
          <w:rFonts w:asciiTheme="minorHAnsi" w:hAnsiTheme="minorHAnsi" w:cstheme="minorHAnsi"/>
        </w:rPr>
        <w:t>rather than depending on statewide educational bonds.</w:t>
      </w:r>
    </w:p>
    <w:p w14:paraId="0DAF3FF6" w14:textId="298130BA" w:rsidR="00B43B00" w:rsidRPr="00576C90" w:rsidRDefault="00B43B00" w:rsidP="00C6153B">
      <w:pPr>
        <w:spacing w:after="0"/>
        <w:ind w:left="360"/>
        <w:rPr>
          <w:sz w:val="20"/>
          <w:szCs w:val="20"/>
        </w:rPr>
      </w:pPr>
      <w:r w:rsidRPr="00576C90">
        <w:rPr>
          <w:rFonts w:cstheme="minorHAnsi"/>
          <w:i/>
          <w:iCs/>
          <w:sz w:val="20"/>
          <w:szCs w:val="20"/>
        </w:rPr>
        <w:t>Sources: CCCCO DataMart and CCCCO website</w:t>
      </w:r>
      <w:r w:rsidR="00576C90" w:rsidRPr="00576C90">
        <w:rPr>
          <w:rFonts w:cstheme="minorHAnsi"/>
          <w:i/>
          <w:iCs/>
          <w:sz w:val="20"/>
          <w:szCs w:val="20"/>
        </w:rPr>
        <w:t>.</w:t>
      </w:r>
    </w:p>
    <w:p w14:paraId="17357CC3" w14:textId="77777777" w:rsidR="00B43B00" w:rsidRDefault="00B43B00" w:rsidP="00B43B00">
      <w:pPr>
        <w:pStyle w:val="Heading2"/>
      </w:pPr>
      <w:bookmarkStart w:id="112" w:name="_Toc168762684"/>
      <w:bookmarkStart w:id="113" w:name="_Toc194931251"/>
      <w:bookmarkStart w:id="114" w:name="_Toc194931576"/>
      <w:r>
        <w:t>Regional Trends</w:t>
      </w:r>
      <w:bookmarkEnd w:id="112"/>
      <w:bookmarkEnd w:id="113"/>
      <w:bookmarkEnd w:id="114"/>
    </w:p>
    <w:p w14:paraId="7A0007BF" w14:textId="2D7BA1C2" w:rsidR="00B43B00" w:rsidRPr="00F07E54" w:rsidRDefault="00B43B00" w:rsidP="005F60E4">
      <w:bookmarkStart w:id="115" w:name="_Toc194324203"/>
      <w:r w:rsidRPr="00F07E54">
        <w:t xml:space="preserve">Demographic </w:t>
      </w:r>
      <w:r w:rsidR="00576C90" w:rsidRPr="00F07E54">
        <w:t>Trends</w:t>
      </w:r>
      <w:bookmarkEnd w:id="115"/>
    </w:p>
    <w:p w14:paraId="6E363274" w14:textId="77777777" w:rsidR="00B43B00" w:rsidRDefault="00B43B00" w:rsidP="005761F9">
      <w:pPr>
        <w:numPr>
          <w:ilvl w:val="0"/>
          <w:numId w:val="18"/>
        </w:numPr>
        <w:spacing w:after="0"/>
        <w:contextualSpacing/>
      </w:pPr>
      <w:r w:rsidRPr="00BE0898">
        <w:t xml:space="preserve">The population of </w:t>
      </w:r>
      <w:r>
        <w:t>Kern</w:t>
      </w:r>
      <w:r w:rsidRPr="00BE0898">
        <w:t xml:space="preserve"> County is expected to increase slightly in the next </w:t>
      </w:r>
      <w:r>
        <w:t>30 years</w:t>
      </w:r>
      <w:r w:rsidRPr="00BE0898">
        <w:t xml:space="preserve">, </w:t>
      </w:r>
      <w:r>
        <w:t>with the growth likely to continue in Bakersfield and larger towns.</w:t>
      </w:r>
    </w:p>
    <w:p w14:paraId="303A86F3" w14:textId="6B164822" w:rsidR="00B43B00" w:rsidRPr="00BE0898" w:rsidRDefault="00B43B00" w:rsidP="005761F9">
      <w:pPr>
        <w:numPr>
          <w:ilvl w:val="0"/>
          <w:numId w:val="18"/>
        </w:numPr>
        <w:spacing w:after="0"/>
        <w:contextualSpacing/>
      </w:pPr>
      <w:r>
        <w:t xml:space="preserve">Population </w:t>
      </w:r>
      <w:r w:rsidR="00C6153B">
        <w:t xml:space="preserve">within West Kern Community College District and near </w:t>
      </w:r>
      <w:r>
        <w:t>the Taft College campus</w:t>
      </w:r>
      <w:r w:rsidR="003F6357">
        <w:t xml:space="preserve"> is low</w:t>
      </w:r>
      <w:r>
        <w:t xml:space="preserve"> and decreasing.</w:t>
      </w:r>
    </w:p>
    <w:p w14:paraId="5057E707" w14:textId="2E62E52F" w:rsidR="00B43B00" w:rsidRPr="00BE0898" w:rsidRDefault="00B43B00" w:rsidP="005761F9">
      <w:pPr>
        <w:numPr>
          <w:ilvl w:val="0"/>
          <w:numId w:val="17"/>
        </w:numPr>
        <w:spacing w:after="0"/>
        <w:contextualSpacing/>
      </w:pPr>
      <w:r w:rsidRPr="00BE0898">
        <w:t xml:space="preserve">Enrollment in local K-12 school districts has been trending </w:t>
      </w:r>
      <w:r>
        <w:t>slightly upward</w:t>
      </w:r>
      <w:r w:rsidRPr="00BE0898">
        <w:t xml:space="preserve"> over the past </w:t>
      </w:r>
      <w:r>
        <w:t>six</w:t>
      </w:r>
      <w:r w:rsidRPr="00BE0898">
        <w:t xml:space="preserve"> years, </w:t>
      </w:r>
      <w:r>
        <w:t>but college</w:t>
      </w:r>
      <w:r w:rsidR="003F6357">
        <w:t>-</w:t>
      </w:r>
      <w:r>
        <w:t>going rates are much lower than the state average, and fewer students have met UC/CSU requirements upon graduation.</w:t>
      </w:r>
    </w:p>
    <w:p w14:paraId="5746CDB6" w14:textId="77777777" w:rsidR="00B43B00" w:rsidRPr="00BE0898" w:rsidRDefault="00B43B00" w:rsidP="005761F9">
      <w:pPr>
        <w:numPr>
          <w:ilvl w:val="0"/>
          <w:numId w:val="17"/>
        </w:numPr>
        <w:spacing w:after="0"/>
        <w:contextualSpacing/>
      </w:pPr>
      <w:r w:rsidRPr="00BE0898">
        <w:t xml:space="preserve">Approximately </w:t>
      </w:r>
      <w:r>
        <w:t>73</w:t>
      </w:r>
      <w:r w:rsidRPr="00BE0898">
        <w:t xml:space="preserve">% of the population of </w:t>
      </w:r>
      <w:r>
        <w:t>Kern</w:t>
      </w:r>
      <w:r w:rsidRPr="00BE0898">
        <w:t xml:space="preserve"> County has less than “some college or Associate Degree”</w:t>
      </w:r>
      <w:r>
        <w:t xml:space="preserve"> which provides a large pool of potential students.</w:t>
      </w:r>
    </w:p>
    <w:p w14:paraId="20114BF2" w14:textId="22FF0B33" w:rsidR="00576C90" w:rsidRDefault="00B43B00" w:rsidP="005761F9">
      <w:pPr>
        <w:numPr>
          <w:ilvl w:val="0"/>
          <w:numId w:val="17"/>
        </w:numPr>
        <w:spacing w:after="0"/>
        <w:contextualSpacing/>
      </w:pPr>
      <w:r>
        <w:t>Kern County is ethnically diverse, with a slight majority of Latinos, but the town of Taft and West Kern County maintain a majority of White residents. Overall, the population of Taft and West Kern County show lower levels of socioeconomic status and income levels than Kern County or the state and nation.</w:t>
      </w:r>
    </w:p>
    <w:p w14:paraId="2BA8082E" w14:textId="31961A69" w:rsidR="00B43B00" w:rsidRDefault="00576C90" w:rsidP="00A431A3">
      <w:pPr>
        <w:spacing w:after="0"/>
        <w:ind w:left="360"/>
        <w:contextualSpacing/>
        <w:rPr>
          <w:i/>
          <w:iCs/>
          <w:sz w:val="20"/>
          <w:szCs w:val="20"/>
        </w:rPr>
      </w:pPr>
      <w:r w:rsidRPr="00576C90">
        <w:rPr>
          <w:i/>
          <w:iCs/>
          <w:sz w:val="20"/>
          <w:szCs w:val="20"/>
        </w:rPr>
        <w:t>Source: US Census and California Department of Education.</w:t>
      </w:r>
    </w:p>
    <w:p w14:paraId="34BF89F1" w14:textId="77777777" w:rsidR="00C6153B" w:rsidRPr="00A431A3" w:rsidRDefault="00C6153B" w:rsidP="00A431A3">
      <w:pPr>
        <w:spacing w:after="0"/>
        <w:ind w:left="360"/>
        <w:contextualSpacing/>
        <w:rPr>
          <w:i/>
          <w:iCs/>
          <w:sz w:val="20"/>
          <w:szCs w:val="20"/>
        </w:rPr>
      </w:pPr>
    </w:p>
    <w:p w14:paraId="4F4DCF13" w14:textId="55DE373C" w:rsidR="00576C90" w:rsidRPr="00F07E54" w:rsidRDefault="00B43B00" w:rsidP="005F60E4">
      <w:bookmarkStart w:id="116" w:name="_Toc194324204"/>
      <w:r w:rsidRPr="00F07E54">
        <w:t>Labor Market</w:t>
      </w:r>
      <w:bookmarkEnd w:id="116"/>
      <w:r w:rsidRPr="00F07E54">
        <w:t xml:space="preserve"> </w:t>
      </w:r>
    </w:p>
    <w:p w14:paraId="27DA74A0" w14:textId="23224637" w:rsidR="00B43B00" w:rsidRDefault="00B43B00" w:rsidP="00B43B00">
      <w:pPr>
        <w:spacing w:after="0"/>
      </w:pPr>
      <w:r>
        <w:t>The following ten sectors</w:t>
      </w:r>
      <w:r w:rsidR="00C172CE">
        <w:t>, listed here in declining order of annual openings,</w:t>
      </w:r>
      <w:r>
        <w:t xml:space="preserve"> are projected to offer more than 80,000 jobs annually in the Southern Central Valley/South Mother Lode region</w:t>
      </w:r>
      <w:r w:rsidR="00C172CE">
        <w:t>.</w:t>
      </w:r>
    </w:p>
    <w:p w14:paraId="02B8F652" w14:textId="77777777" w:rsidR="00B43B00" w:rsidRPr="00DA0646" w:rsidRDefault="00B43B00" w:rsidP="005761F9">
      <w:pPr>
        <w:pStyle w:val="ListParagraph"/>
        <w:numPr>
          <w:ilvl w:val="0"/>
          <w:numId w:val="19"/>
        </w:numPr>
        <w:spacing w:after="0"/>
      </w:pPr>
      <w:r w:rsidRPr="00DA0646">
        <w:t>Health</w:t>
      </w:r>
    </w:p>
    <w:p w14:paraId="0CCE5340" w14:textId="77777777" w:rsidR="00B43B00" w:rsidRPr="00DA0646" w:rsidRDefault="00B43B00" w:rsidP="005761F9">
      <w:pPr>
        <w:pStyle w:val="ListParagraph"/>
        <w:numPr>
          <w:ilvl w:val="0"/>
          <w:numId w:val="19"/>
        </w:numPr>
        <w:spacing w:after="0"/>
      </w:pPr>
      <w:r w:rsidRPr="00DA0646">
        <w:t>Business &amp; Entrepreneurship</w:t>
      </w:r>
    </w:p>
    <w:p w14:paraId="625C7F37" w14:textId="77777777" w:rsidR="00B43B00" w:rsidRPr="00DA0646" w:rsidRDefault="00B43B00" w:rsidP="005761F9">
      <w:pPr>
        <w:pStyle w:val="ListParagraph"/>
        <w:numPr>
          <w:ilvl w:val="0"/>
          <w:numId w:val="19"/>
        </w:numPr>
        <w:spacing w:after="0"/>
      </w:pPr>
      <w:r w:rsidRPr="00DA0646">
        <w:t>Energy, Construction &amp; Utilities</w:t>
      </w:r>
    </w:p>
    <w:p w14:paraId="11893DF6" w14:textId="77777777" w:rsidR="00B43B00" w:rsidRPr="00DA0646" w:rsidRDefault="00B43B00" w:rsidP="005761F9">
      <w:pPr>
        <w:pStyle w:val="ListParagraph"/>
        <w:numPr>
          <w:ilvl w:val="0"/>
          <w:numId w:val="19"/>
        </w:numPr>
        <w:spacing w:after="0"/>
      </w:pPr>
      <w:r w:rsidRPr="00DA0646">
        <w:t>Retail, Hospitality &amp; Tourism</w:t>
      </w:r>
    </w:p>
    <w:p w14:paraId="591ABA84" w14:textId="77777777" w:rsidR="00B43B00" w:rsidRPr="00DA0646" w:rsidRDefault="00B43B00" w:rsidP="005761F9">
      <w:pPr>
        <w:pStyle w:val="ListParagraph"/>
        <w:numPr>
          <w:ilvl w:val="0"/>
          <w:numId w:val="19"/>
        </w:numPr>
        <w:spacing w:after="0"/>
      </w:pPr>
      <w:r w:rsidRPr="00DA0646">
        <w:t>Advanced Transportation &amp; Logistics</w:t>
      </w:r>
    </w:p>
    <w:p w14:paraId="717243F9" w14:textId="77777777" w:rsidR="00B43B00" w:rsidRPr="00DA0646" w:rsidRDefault="00B43B00" w:rsidP="005761F9">
      <w:pPr>
        <w:pStyle w:val="ListParagraph"/>
        <w:numPr>
          <w:ilvl w:val="0"/>
          <w:numId w:val="19"/>
        </w:numPr>
        <w:spacing w:after="0"/>
      </w:pPr>
      <w:r w:rsidRPr="00DA0646">
        <w:t>Agriculture, Water &amp; Environmental Technologies</w:t>
      </w:r>
    </w:p>
    <w:p w14:paraId="47A6A87C" w14:textId="77777777" w:rsidR="00B43B00" w:rsidRPr="00DA0646" w:rsidRDefault="00B43B00" w:rsidP="005761F9">
      <w:pPr>
        <w:pStyle w:val="ListParagraph"/>
        <w:numPr>
          <w:ilvl w:val="0"/>
          <w:numId w:val="19"/>
        </w:numPr>
        <w:spacing w:after="0"/>
      </w:pPr>
      <w:r w:rsidRPr="00DA0646">
        <w:t>Education</w:t>
      </w:r>
    </w:p>
    <w:p w14:paraId="5F9A6ECB" w14:textId="77777777" w:rsidR="00B43B00" w:rsidRPr="00DA0646" w:rsidRDefault="00B43B00" w:rsidP="005761F9">
      <w:pPr>
        <w:pStyle w:val="ListParagraph"/>
        <w:numPr>
          <w:ilvl w:val="0"/>
          <w:numId w:val="19"/>
        </w:numPr>
        <w:spacing w:after="0"/>
      </w:pPr>
      <w:r w:rsidRPr="00DA0646">
        <w:t>ICT/Digital Media</w:t>
      </w:r>
    </w:p>
    <w:p w14:paraId="4299421B" w14:textId="77777777" w:rsidR="00B43B00" w:rsidRPr="00DA0646" w:rsidRDefault="00B43B00" w:rsidP="005761F9">
      <w:pPr>
        <w:pStyle w:val="ListParagraph"/>
        <w:numPr>
          <w:ilvl w:val="0"/>
          <w:numId w:val="19"/>
        </w:numPr>
        <w:spacing w:after="0"/>
      </w:pPr>
      <w:r w:rsidRPr="00DA0646">
        <w:t>Advanced Manufacturing</w:t>
      </w:r>
    </w:p>
    <w:p w14:paraId="0C89CFEB" w14:textId="77777777" w:rsidR="00B43B00" w:rsidRPr="00DA0646" w:rsidRDefault="00B43B00" w:rsidP="005761F9">
      <w:pPr>
        <w:pStyle w:val="ListParagraph"/>
        <w:numPr>
          <w:ilvl w:val="0"/>
          <w:numId w:val="19"/>
        </w:numPr>
        <w:spacing w:after="0"/>
      </w:pPr>
      <w:r w:rsidRPr="00DA0646">
        <w:t>Public Safety</w:t>
      </w:r>
    </w:p>
    <w:p w14:paraId="367F4171" w14:textId="1D83C39A" w:rsidR="00F07E54" w:rsidRDefault="00576C90" w:rsidP="00487D7C">
      <w:pPr>
        <w:spacing w:after="0"/>
        <w:rPr>
          <w:i/>
          <w:iCs/>
          <w:sz w:val="20"/>
          <w:szCs w:val="20"/>
        </w:rPr>
      </w:pPr>
      <w:r w:rsidRPr="00576C90">
        <w:rPr>
          <w:i/>
          <w:iCs/>
          <w:sz w:val="20"/>
          <w:szCs w:val="20"/>
        </w:rPr>
        <w:t>Source: Centers of Excellence for Labor Market Research for the California Community Colleges.</w:t>
      </w:r>
    </w:p>
    <w:p w14:paraId="27C23AB1" w14:textId="77777777" w:rsidR="00C6153B" w:rsidRPr="00487D7C" w:rsidRDefault="00C6153B" w:rsidP="00487D7C">
      <w:pPr>
        <w:spacing w:after="0"/>
        <w:rPr>
          <w:i/>
          <w:iCs/>
          <w:sz w:val="20"/>
          <w:szCs w:val="20"/>
        </w:rPr>
      </w:pPr>
    </w:p>
    <w:p w14:paraId="1D49D72C" w14:textId="48F9E97D" w:rsidR="00B43B00" w:rsidRPr="00F07E54" w:rsidRDefault="00B43B00" w:rsidP="005F60E4">
      <w:bookmarkStart w:id="117" w:name="_Toc194324205"/>
      <w:r w:rsidRPr="00F07E54">
        <w:t>Remote Jobs</w:t>
      </w:r>
      <w:bookmarkEnd w:id="117"/>
      <w:r w:rsidRPr="00F07E54">
        <w:t xml:space="preserve"> </w:t>
      </w:r>
    </w:p>
    <w:p w14:paraId="34D07F43" w14:textId="4CFAFC9B" w:rsidR="00B43B00" w:rsidRPr="00D618E0" w:rsidRDefault="00B43B00" w:rsidP="00B43B00">
      <w:pPr>
        <w:rPr>
          <w:rFonts w:ascii="Calibri" w:hAnsi="Calibri"/>
        </w:rPr>
      </w:pPr>
      <w:r w:rsidRPr="00D618E0">
        <w:rPr>
          <w:rFonts w:ascii="Calibri" w:hAnsi="Calibri"/>
        </w:rPr>
        <w:t xml:space="preserve">The </w:t>
      </w:r>
      <w:r w:rsidR="00BC2144">
        <w:rPr>
          <w:rFonts w:ascii="Calibri" w:hAnsi="Calibri"/>
        </w:rPr>
        <w:t>COVID-19 pandemic</w:t>
      </w:r>
      <w:r w:rsidRPr="00D618E0">
        <w:rPr>
          <w:rFonts w:ascii="Calibri" w:hAnsi="Calibri"/>
        </w:rPr>
        <w:t xml:space="preserve"> caused both work and school to shift to online platforms. Since then, work and school have maintained more of an online presence than before the Pandemic.</w:t>
      </w:r>
    </w:p>
    <w:p w14:paraId="3DAF03BC" w14:textId="77777777" w:rsidR="00B43B00" w:rsidRPr="00D618E0" w:rsidRDefault="00B43B00" w:rsidP="00B43B00">
      <w:pPr>
        <w:rPr>
          <w:rFonts w:ascii="Calibri" w:hAnsi="Calibri"/>
        </w:rPr>
      </w:pPr>
      <w:r w:rsidRPr="00D618E0">
        <w:rPr>
          <w:rFonts w:ascii="Calibri" w:hAnsi="Calibri"/>
        </w:rPr>
        <w:lastRenderedPageBreak/>
        <w:t>Citing census data and the US Bureau of Labor Statistics and other sources, Forbes Advisor (updated June 12, 2023) identified the following key remote work statistics:</w:t>
      </w:r>
    </w:p>
    <w:p w14:paraId="7E2F0754" w14:textId="74EC7987" w:rsidR="00B43B00" w:rsidRPr="00D618E0" w:rsidRDefault="00B43B00" w:rsidP="005761F9">
      <w:pPr>
        <w:numPr>
          <w:ilvl w:val="0"/>
          <w:numId w:val="30"/>
        </w:numPr>
        <w:spacing w:after="160" w:line="259" w:lineRule="auto"/>
        <w:contextualSpacing/>
        <w:rPr>
          <w:rFonts w:ascii="Calibri" w:hAnsi="Calibri"/>
        </w:rPr>
      </w:pPr>
      <w:r w:rsidRPr="00D618E0">
        <w:rPr>
          <w:rFonts w:ascii="Calibri" w:hAnsi="Calibri"/>
        </w:rPr>
        <w:t>One in five workers nationally is working remotely</w:t>
      </w:r>
      <w:r w:rsidR="00C172CE">
        <w:rPr>
          <w:rFonts w:ascii="Calibri" w:hAnsi="Calibri"/>
        </w:rPr>
        <w:t>.</w:t>
      </w:r>
    </w:p>
    <w:p w14:paraId="6D391F05" w14:textId="2EFF302C" w:rsidR="00B43B00" w:rsidRPr="00D618E0" w:rsidRDefault="00B43B00" w:rsidP="005761F9">
      <w:pPr>
        <w:numPr>
          <w:ilvl w:val="0"/>
          <w:numId w:val="30"/>
        </w:numPr>
        <w:spacing w:after="160" w:line="259" w:lineRule="auto"/>
        <w:contextualSpacing/>
        <w:rPr>
          <w:rFonts w:ascii="Calibri" w:hAnsi="Calibri"/>
        </w:rPr>
      </w:pPr>
      <w:r w:rsidRPr="00D618E0">
        <w:rPr>
          <w:rFonts w:ascii="Calibri" w:hAnsi="Calibri"/>
        </w:rPr>
        <w:t>16% of companies are fully remote, operating without a physical office</w:t>
      </w:r>
      <w:r w:rsidR="00C172CE">
        <w:rPr>
          <w:rFonts w:ascii="Calibri" w:hAnsi="Calibri"/>
        </w:rPr>
        <w:t>.</w:t>
      </w:r>
    </w:p>
    <w:p w14:paraId="4367E63F" w14:textId="5D40124A" w:rsidR="00B43B00" w:rsidRDefault="00B43B00" w:rsidP="005761F9">
      <w:pPr>
        <w:numPr>
          <w:ilvl w:val="0"/>
          <w:numId w:val="30"/>
        </w:numPr>
        <w:spacing w:after="160" w:line="259" w:lineRule="auto"/>
        <w:contextualSpacing/>
        <w:rPr>
          <w:rFonts w:ascii="Calibri" w:hAnsi="Calibri"/>
        </w:rPr>
      </w:pPr>
      <w:r w:rsidRPr="00D618E0">
        <w:rPr>
          <w:rFonts w:ascii="Calibri" w:hAnsi="Calibri"/>
        </w:rPr>
        <w:t xml:space="preserve">The highest percentage of remote workers </w:t>
      </w:r>
      <w:r w:rsidR="00AC2E6D">
        <w:rPr>
          <w:rFonts w:ascii="Calibri" w:hAnsi="Calibri"/>
        </w:rPr>
        <w:t>is</w:t>
      </w:r>
      <w:r w:rsidRPr="00D618E0">
        <w:rPr>
          <w:rFonts w:ascii="Calibri" w:hAnsi="Calibri"/>
        </w:rPr>
        <w:t xml:space="preserve"> aged 24 to 35 – within this age group, 39% work remotely full-time and 25% do so part time</w:t>
      </w:r>
      <w:r w:rsidR="00C172CE">
        <w:rPr>
          <w:rFonts w:ascii="Calibri" w:hAnsi="Calibri"/>
        </w:rPr>
        <w:t>.</w:t>
      </w:r>
    </w:p>
    <w:p w14:paraId="03F8DA3A" w14:textId="77798CC7" w:rsidR="00B43B00" w:rsidRDefault="00B43B00" w:rsidP="005761F9">
      <w:pPr>
        <w:numPr>
          <w:ilvl w:val="0"/>
          <w:numId w:val="30"/>
        </w:numPr>
        <w:spacing w:after="160" w:line="259" w:lineRule="auto"/>
        <w:contextualSpacing/>
        <w:rPr>
          <w:rFonts w:ascii="Calibri" w:hAnsi="Calibri"/>
        </w:rPr>
      </w:pPr>
      <w:r>
        <w:rPr>
          <w:rFonts w:ascii="Calibri" w:hAnsi="Calibri"/>
        </w:rPr>
        <w:t xml:space="preserve">The top industries for remote work are Computer </w:t>
      </w:r>
      <w:r w:rsidR="00AC2E6D">
        <w:rPr>
          <w:rFonts w:ascii="Calibri" w:hAnsi="Calibri"/>
        </w:rPr>
        <w:t>and</w:t>
      </w:r>
      <w:r>
        <w:rPr>
          <w:rFonts w:ascii="Calibri" w:hAnsi="Calibri"/>
        </w:rPr>
        <w:t xml:space="preserve"> IT, Accounting and Finance, Marketing, Medical </w:t>
      </w:r>
      <w:r w:rsidR="00AC2E6D">
        <w:rPr>
          <w:rFonts w:ascii="Calibri" w:hAnsi="Calibri"/>
        </w:rPr>
        <w:t>and</w:t>
      </w:r>
      <w:r>
        <w:rPr>
          <w:rFonts w:ascii="Calibri" w:hAnsi="Calibri"/>
        </w:rPr>
        <w:t xml:space="preserve"> Health, Project Management, Customer Service, Sales, Administrative, H</w:t>
      </w:r>
      <w:r w:rsidR="00AC2E6D">
        <w:rPr>
          <w:rFonts w:ascii="Calibri" w:hAnsi="Calibri"/>
        </w:rPr>
        <w:t>uma</w:t>
      </w:r>
      <w:r w:rsidR="008D130C">
        <w:rPr>
          <w:rFonts w:ascii="Calibri" w:hAnsi="Calibri"/>
        </w:rPr>
        <w:t>n</w:t>
      </w:r>
      <w:r w:rsidR="00AC2E6D">
        <w:rPr>
          <w:rFonts w:ascii="Calibri" w:hAnsi="Calibri"/>
        </w:rPr>
        <w:t xml:space="preserve"> Resources</w:t>
      </w:r>
      <w:r>
        <w:rPr>
          <w:rFonts w:ascii="Calibri" w:hAnsi="Calibri"/>
        </w:rPr>
        <w:t xml:space="preserve"> </w:t>
      </w:r>
      <w:r w:rsidR="00AC2E6D">
        <w:rPr>
          <w:rFonts w:ascii="Calibri" w:hAnsi="Calibri"/>
        </w:rPr>
        <w:t>and</w:t>
      </w:r>
      <w:r>
        <w:rPr>
          <w:rFonts w:ascii="Calibri" w:hAnsi="Calibri"/>
        </w:rPr>
        <w:t xml:space="preserve"> Recruiting, and Operations.</w:t>
      </w:r>
    </w:p>
    <w:p w14:paraId="0AC916A0" w14:textId="637151B0" w:rsidR="00576C90" w:rsidRPr="003F6357" w:rsidRDefault="00B43B00" w:rsidP="005761F9">
      <w:pPr>
        <w:numPr>
          <w:ilvl w:val="0"/>
          <w:numId w:val="30"/>
        </w:numPr>
        <w:spacing w:after="160" w:line="259" w:lineRule="auto"/>
        <w:contextualSpacing/>
        <w:rPr>
          <w:rFonts w:ascii="Calibri" w:hAnsi="Calibri"/>
        </w:rPr>
      </w:pPr>
      <w:r>
        <w:rPr>
          <w:rFonts w:ascii="Calibri" w:hAnsi="Calibri"/>
        </w:rPr>
        <w:t>The top remote job titles are Accountant, Executive Assistant, Financial Analyst, Product Manager, Customer Service Rep, Software Engineer, Customer Success Manager, Accounting Manager, Product Designer, and Writer.</w:t>
      </w:r>
    </w:p>
    <w:p w14:paraId="1E7E4EBB" w14:textId="4F6DA6AA" w:rsidR="00B43B00" w:rsidRDefault="00576C90" w:rsidP="00B43B00">
      <w:pPr>
        <w:spacing w:after="0"/>
        <w:rPr>
          <w:i/>
          <w:iCs/>
          <w:sz w:val="20"/>
          <w:szCs w:val="20"/>
        </w:rPr>
      </w:pPr>
      <w:r w:rsidRPr="00576C90">
        <w:rPr>
          <w:i/>
          <w:iCs/>
          <w:sz w:val="20"/>
          <w:szCs w:val="20"/>
        </w:rPr>
        <w:t xml:space="preserve">Source: US Census and other data quoted in </w:t>
      </w:r>
      <w:hyperlink r:id="rId32" w:anchor="sources_section" w:history="1">
        <w:r w:rsidRPr="00576C90">
          <w:rPr>
            <w:rStyle w:val="Hyperlink"/>
            <w:i/>
            <w:iCs/>
            <w:sz w:val="20"/>
            <w:szCs w:val="20"/>
          </w:rPr>
          <w:t>Forbes</w:t>
        </w:r>
      </w:hyperlink>
      <w:r w:rsidRPr="00576C90">
        <w:rPr>
          <w:i/>
          <w:iCs/>
          <w:sz w:val="20"/>
          <w:szCs w:val="20"/>
        </w:rPr>
        <w:t>.</w:t>
      </w:r>
    </w:p>
    <w:p w14:paraId="4B1B18E8" w14:textId="77777777" w:rsidR="008E1EBF" w:rsidRPr="00F07E54" w:rsidRDefault="008E1EBF" w:rsidP="00B43B00">
      <w:pPr>
        <w:spacing w:after="0"/>
        <w:rPr>
          <w:b/>
          <w:bCs/>
          <w:i/>
          <w:iCs/>
          <w:sz w:val="20"/>
          <w:szCs w:val="20"/>
        </w:rPr>
      </w:pPr>
    </w:p>
    <w:p w14:paraId="3B897EE7" w14:textId="36CA14B8" w:rsidR="00B13BA0" w:rsidRPr="00F07E54" w:rsidRDefault="00B13BA0" w:rsidP="005F60E4">
      <w:bookmarkStart w:id="118" w:name="_Toc194324206"/>
      <w:r w:rsidRPr="00F07E54">
        <w:t>Industry Clusters for Development</w:t>
      </w:r>
      <w:bookmarkEnd w:id="118"/>
    </w:p>
    <w:p w14:paraId="6E9F0B5C" w14:textId="0BC18B25" w:rsidR="00B43B00" w:rsidRPr="00465DD8" w:rsidRDefault="00CC1097" w:rsidP="00B43B00">
      <w:pPr>
        <w:spacing w:after="0"/>
      </w:pPr>
      <w:r>
        <w:t>Consistent with</w:t>
      </w:r>
      <w:r w:rsidR="00B13BA0">
        <w:t xml:space="preserve"> the labor market and remote jobs cited above</w:t>
      </w:r>
      <w:r w:rsidR="00B43B00" w:rsidRPr="00465DD8">
        <w:t xml:space="preserve">, the </w:t>
      </w:r>
      <w:hyperlink r:id="rId33" w:history="1">
        <w:r w:rsidR="00B43B00" w:rsidRPr="0073663E">
          <w:rPr>
            <w:rStyle w:val="Hyperlink"/>
          </w:rPr>
          <w:t>Kern County Comprehensive Economic Development Strategy</w:t>
        </w:r>
      </w:hyperlink>
      <w:r w:rsidR="00B43B00" w:rsidRPr="00465DD8">
        <w:t xml:space="preserve"> (October 2021) prioritizes the following industry clusters for development:</w:t>
      </w:r>
    </w:p>
    <w:p w14:paraId="6683C7CC" w14:textId="77777777" w:rsidR="00B43B00" w:rsidRPr="00465DD8" w:rsidRDefault="00B43B00" w:rsidP="005761F9">
      <w:pPr>
        <w:pStyle w:val="ListParagraph"/>
        <w:numPr>
          <w:ilvl w:val="0"/>
          <w:numId w:val="20"/>
        </w:numPr>
        <w:spacing w:after="0"/>
        <w:rPr>
          <w:rFonts w:ascii="Times New Roman" w:hAnsi="Times New Roman"/>
        </w:rPr>
      </w:pPr>
      <w:r w:rsidRPr="00465DD8">
        <w:rPr>
          <w:highlight w:val="white"/>
        </w:rPr>
        <w:t>Value-Added Agriculture</w:t>
      </w:r>
    </w:p>
    <w:p w14:paraId="6894D538" w14:textId="77777777" w:rsidR="00B43B00" w:rsidRPr="00465DD8" w:rsidRDefault="00B43B00" w:rsidP="005761F9">
      <w:pPr>
        <w:pStyle w:val="ListParagraph"/>
        <w:numPr>
          <w:ilvl w:val="0"/>
          <w:numId w:val="20"/>
        </w:numPr>
        <w:spacing w:after="0"/>
        <w:rPr>
          <w:rFonts w:ascii="Times New Roman" w:hAnsi="Times New Roman"/>
        </w:rPr>
      </w:pPr>
      <w:r w:rsidRPr="00465DD8">
        <w:rPr>
          <w:highlight w:val="white"/>
        </w:rPr>
        <w:t>Transportation and Logistics</w:t>
      </w:r>
    </w:p>
    <w:p w14:paraId="30C4A5B4" w14:textId="77777777" w:rsidR="00B43B00" w:rsidRPr="00465DD8" w:rsidRDefault="00B43B00" w:rsidP="005761F9">
      <w:pPr>
        <w:pStyle w:val="ListParagraph"/>
        <w:numPr>
          <w:ilvl w:val="0"/>
          <w:numId w:val="20"/>
        </w:numPr>
        <w:spacing w:after="0"/>
        <w:rPr>
          <w:rFonts w:ascii="Times New Roman" w:hAnsi="Times New Roman"/>
        </w:rPr>
      </w:pPr>
      <w:r w:rsidRPr="00465DD8">
        <w:rPr>
          <w:highlight w:val="white"/>
        </w:rPr>
        <w:t>Energy and Natural Resources</w:t>
      </w:r>
    </w:p>
    <w:p w14:paraId="0315B480" w14:textId="77777777" w:rsidR="00B43B00" w:rsidRPr="00465DD8" w:rsidRDefault="00B43B00" w:rsidP="005761F9">
      <w:pPr>
        <w:pStyle w:val="ListParagraph"/>
        <w:numPr>
          <w:ilvl w:val="0"/>
          <w:numId w:val="20"/>
        </w:numPr>
        <w:spacing w:after="0"/>
        <w:rPr>
          <w:rFonts w:ascii="Times New Roman" w:hAnsi="Times New Roman"/>
        </w:rPr>
      </w:pPr>
      <w:r w:rsidRPr="00465DD8">
        <w:rPr>
          <w:highlight w:val="white"/>
        </w:rPr>
        <w:t>Aerospace and Defense</w:t>
      </w:r>
    </w:p>
    <w:p w14:paraId="72BA3843" w14:textId="77777777" w:rsidR="00B43B00" w:rsidRPr="00465DD8" w:rsidRDefault="00B43B00" w:rsidP="005761F9">
      <w:pPr>
        <w:pStyle w:val="ListParagraph"/>
        <w:numPr>
          <w:ilvl w:val="0"/>
          <w:numId w:val="20"/>
        </w:numPr>
        <w:spacing w:after="0"/>
        <w:rPr>
          <w:rFonts w:ascii="Times New Roman" w:hAnsi="Times New Roman"/>
        </w:rPr>
      </w:pPr>
      <w:r w:rsidRPr="00465DD8">
        <w:rPr>
          <w:highlight w:val="white"/>
        </w:rPr>
        <w:t>Tourism, Recreation and Entertainment</w:t>
      </w:r>
    </w:p>
    <w:p w14:paraId="6D0D5129" w14:textId="77777777" w:rsidR="00B43B00" w:rsidRPr="00465DD8" w:rsidRDefault="00B43B00" w:rsidP="005761F9">
      <w:pPr>
        <w:pStyle w:val="ListParagraph"/>
        <w:numPr>
          <w:ilvl w:val="0"/>
          <w:numId w:val="20"/>
        </w:numPr>
        <w:spacing w:after="0"/>
        <w:rPr>
          <w:rFonts w:ascii="Times New Roman" w:hAnsi="Times New Roman"/>
        </w:rPr>
      </w:pPr>
      <w:r w:rsidRPr="00465DD8">
        <w:rPr>
          <w:highlight w:val="white"/>
        </w:rPr>
        <w:t>Healthcare Services</w:t>
      </w:r>
    </w:p>
    <w:p w14:paraId="55FA4B68" w14:textId="77777777" w:rsidR="00E75E49" w:rsidRDefault="00B43B00" w:rsidP="00E75E49">
      <w:pPr>
        <w:pStyle w:val="Heading2"/>
      </w:pPr>
      <w:bookmarkStart w:id="119" w:name="_Toc168762685"/>
      <w:bookmarkStart w:id="120" w:name="_Toc194931252"/>
      <w:bookmarkStart w:id="121" w:name="_Toc194931577"/>
      <w:r w:rsidRPr="00BE0898">
        <w:t>District</w:t>
      </w:r>
      <w:r w:rsidR="004B7F4D">
        <w:t xml:space="preserve">/College </w:t>
      </w:r>
      <w:r w:rsidR="00E75E49">
        <w:t xml:space="preserve">Enrollment </w:t>
      </w:r>
      <w:r w:rsidRPr="00BE0898">
        <w:t>Trends and Planning Assumptions</w:t>
      </w:r>
      <w:bookmarkEnd w:id="119"/>
      <w:bookmarkEnd w:id="120"/>
      <w:bookmarkEnd w:id="121"/>
    </w:p>
    <w:p w14:paraId="6A48ED93" w14:textId="00EB17BD" w:rsidR="00B43B00" w:rsidRPr="00E75E49" w:rsidRDefault="00B43B00" w:rsidP="005F60E4">
      <w:bookmarkStart w:id="122" w:name="_Toc194324208"/>
      <w:r w:rsidRPr="00E75E49">
        <w:rPr>
          <w:rStyle w:val="Heading4Char"/>
          <w:rFonts w:cstheme="majorBidi"/>
          <w:color w:val="4472C4" w:themeColor="accent1"/>
          <w:sz w:val="24"/>
          <w:szCs w:val="24"/>
          <w:u w:val="none"/>
        </w:rPr>
        <w:t>Students</w:t>
      </w:r>
      <w:bookmarkEnd w:id="122"/>
      <w:r w:rsidRPr="00E75E49">
        <w:t xml:space="preserve"> </w:t>
      </w:r>
    </w:p>
    <w:p w14:paraId="0ACF19B7" w14:textId="14C891E4" w:rsidR="00B43B00" w:rsidRDefault="00B43B00" w:rsidP="005761F9">
      <w:pPr>
        <w:pStyle w:val="ListParagraph"/>
        <w:numPr>
          <w:ilvl w:val="0"/>
          <w:numId w:val="21"/>
        </w:numPr>
        <w:spacing w:after="0"/>
      </w:pPr>
      <w:r w:rsidRPr="00F90050">
        <w:t xml:space="preserve">In recent years, enrollment dipped due to the </w:t>
      </w:r>
      <w:r w:rsidR="00BC2144">
        <w:t>COVID-19 pandemic</w:t>
      </w:r>
      <w:r w:rsidRPr="00F90050">
        <w:t xml:space="preserve"> but began rebounding in 2022.</w:t>
      </w:r>
    </w:p>
    <w:p w14:paraId="76DE87A1" w14:textId="77777777" w:rsidR="00B43B00" w:rsidRPr="00843136" w:rsidRDefault="00B43B00" w:rsidP="005761F9">
      <w:pPr>
        <w:pStyle w:val="ListParagraph"/>
        <w:numPr>
          <w:ilvl w:val="0"/>
          <w:numId w:val="32"/>
        </w:numPr>
        <w:spacing w:after="0"/>
        <w:rPr>
          <w:rFonts w:ascii="Times New Roman" w:hAnsi="Times New Roman"/>
          <w:sz w:val="28"/>
        </w:rPr>
      </w:pPr>
      <w:r w:rsidRPr="00F90050">
        <w:t>The ethnic composition of the student population has shifted from majority White in the 1990s to majority Latino in 2010. In Fall 2023, two-thirds (66.4%) of Taft College students were Latino.</w:t>
      </w:r>
    </w:p>
    <w:p w14:paraId="520623F9" w14:textId="1BBE9330" w:rsidR="00B43B00" w:rsidRPr="00843136" w:rsidRDefault="00B43B00" w:rsidP="005761F9">
      <w:pPr>
        <w:pStyle w:val="ListParagraph"/>
        <w:numPr>
          <w:ilvl w:val="0"/>
          <w:numId w:val="32"/>
        </w:numPr>
        <w:spacing w:after="0"/>
        <w:rPr>
          <w:rFonts w:ascii="Times New Roman" w:hAnsi="Times New Roman"/>
          <w:sz w:val="28"/>
        </w:rPr>
      </w:pPr>
      <w:r w:rsidRPr="00843136">
        <w:rPr>
          <w:rFonts w:eastAsiaTheme="minorEastAsia"/>
        </w:rPr>
        <w:t xml:space="preserve">The preponderance of Taft </w:t>
      </w:r>
      <w:r w:rsidR="0028312E">
        <w:rPr>
          <w:rFonts w:eastAsiaTheme="minorEastAsia"/>
        </w:rPr>
        <w:t xml:space="preserve">College </w:t>
      </w:r>
      <w:r w:rsidRPr="00843136">
        <w:rPr>
          <w:rFonts w:eastAsiaTheme="minorEastAsia"/>
        </w:rPr>
        <w:t xml:space="preserve">students </w:t>
      </w:r>
      <w:r w:rsidR="00BB1834">
        <w:rPr>
          <w:rFonts w:eastAsiaTheme="minorEastAsia"/>
        </w:rPr>
        <w:t xml:space="preserve">are </w:t>
      </w:r>
      <w:r w:rsidRPr="00843136">
        <w:rPr>
          <w:rFonts w:eastAsiaTheme="minorEastAsia"/>
        </w:rPr>
        <w:t>from Bakersfield. The second largest student group by town is from Taft, followed by Shafter, Wasco and Arvin</w:t>
      </w:r>
      <w:r>
        <w:rPr>
          <w:rFonts w:eastAsiaTheme="minorEastAsia"/>
        </w:rPr>
        <w:t>.</w:t>
      </w:r>
    </w:p>
    <w:p w14:paraId="7AA8ED1B" w14:textId="635ED7EB" w:rsidR="00B43B00" w:rsidRPr="0028312E" w:rsidRDefault="00B43B00" w:rsidP="005761F9">
      <w:pPr>
        <w:pStyle w:val="ListParagraph"/>
        <w:numPr>
          <w:ilvl w:val="0"/>
          <w:numId w:val="32"/>
        </w:numPr>
        <w:spacing w:after="0"/>
        <w:rPr>
          <w:rFonts w:ascii="Times New Roman" w:hAnsi="Times New Roman"/>
          <w:sz w:val="28"/>
        </w:rPr>
      </w:pPr>
      <w:r w:rsidRPr="00843136">
        <w:rPr>
          <w:rFonts w:eastAsiaTheme="minorEastAsia"/>
        </w:rPr>
        <w:t xml:space="preserve">The high school sending the greatest number of students to Taft College is Taft </w:t>
      </w:r>
      <w:r w:rsidR="0028312E">
        <w:rPr>
          <w:rFonts w:eastAsiaTheme="minorEastAsia"/>
        </w:rPr>
        <w:t xml:space="preserve">Union </w:t>
      </w:r>
      <w:r w:rsidRPr="00843136">
        <w:rPr>
          <w:rFonts w:eastAsiaTheme="minorEastAsia"/>
        </w:rPr>
        <w:t>High School, followed by Ridgeview, Stockdale and Shafter high schools</w:t>
      </w:r>
      <w:r>
        <w:rPr>
          <w:rFonts w:eastAsiaTheme="minorEastAsia"/>
        </w:rPr>
        <w:t>.</w:t>
      </w:r>
    </w:p>
    <w:p w14:paraId="14A13E7F" w14:textId="77777777" w:rsidR="0028312E" w:rsidRPr="0028312E" w:rsidRDefault="0028312E" w:rsidP="0028312E">
      <w:pPr>
        <w:spacing w:after="0"/>
        <w:ind w:left="360"/>
        <w:rPr>
          <w:rFonts w:ascii="Times New Roman" w:hAnsi="Times New Roman"/>
          <w:sz w:val="28"/>
        </w:rPr>
      </w:pPr>
    </w:p>
    <w:p w14:paraId="3D9D192C" w14:textId="77777777" w:rsidR="00B43B00" w:rsidRPr="00E75E49" w:rsidRDefault="00B43B00" w:rsidP="005F60E4">
      <w:bookmarkStart w:id="123" w:name="_Toc194324209"/>
      <w:r w:rsidRPr="00E75E49">
        <w:rPr>
          <w:rStyle w:val="Heading4Char"/>
          <w:rFonts w:cstheme="majorBidi"/>
          <w:color w:val="4472C4" w:themeColor="accent1"/>
          <w:sz w:val="24"/>
          <w:szCs w:val="24"/>
          <w:u w:val="none"/>
        </w:rPr>
        <w:t>Special Populations</w:t>
      </w:r>
      <w:bookmarkEnd w:id="123"/>
      <w:r w:rsidRPr="00E75E49">
        <w:t xml:space="preserve"> </w:t>
      </w:r>
    </w:p>
    <w:p w14:paraId="4EDB8A45" w14:textId="5A1A06EF" w:rsidR="00B43B00" w:rsidRPr="0038098F" w:rsidRDefault="00B43B00" w:rsidP="005761F9">
      <w:pPr>
        <w:pStyle w:val="ListParagraph"/>
        <w:numPr>
          <w:ilvl w:val="0"/>
          <w:numId w:val="22"/>
        </w:numPr>
        <w:spacing w:after="0"/>
      </w:pPr>
      <w:r w:rsidRPr="0038098F">
        <w:t xml:space="preserve">Nearly one-third of students are </w:t>
      </w:r>
      <w:r w:rsidR="006359A6">
        <w:t>First-Generation students</w:t>
      </w:r>
      <w:r w:rsidRPr="0038098F">
        <w:t xml:space="preserve">, meaning neither parent/guardian </w:t>
      </w:r>
      <w:r w:rsidR="006359A6">
        <w:t xml:space="preserve">has </w:t>
      </w:r>
      <w:r w:rsidRPr="0038098F">
        <w:t xml:space="preserve">completed a </w:t>
      </w:r>
      <w:r w:rsidR="006359A6">
        <w:t>b</w:t>
      </w:r>
      <w:r w:rsidRPr="0038098F">
        <w:t>achelor</w:t>
      </w:r>
      <w:r>
        <w:t>’s</w:t>
      </w:r>
      <w:r w:rsidRPr="0038098F">
        <w:t xml:space="preserve"> degree.</w:t>
      </w:r>
    </w:p>
    <w:p w14:paraId="57545860" w14:textId="1C6361E1" w:rsidR="00B43B00" w:rsidRDefault="00B43B00" w:rsidP="005761F9">
      <w:pPr>
        <w:pStyle w:val="ListParagraph"/>
        <w:numPr>
          <w:ilvl w:val="0"/>
          <w:numId w:val="22"/>
        </w:numPr>
        <w:spacing w:after="0"/>
      </w:pPr>
      <w:r>
        <w:t xml:space="preserve">One in six (16.5%) Taft College students </w:t>
      </w:r>
      <w:r w:rsidR="0083574E">
        <w:t>is</w:t>
      </w:r>
      <w:r>
        <w:t xml:space="preserve"> Special Admit, meaning they are concurrently enrolled in high school.</w:t>
      </w:r>
    </w:p>
    <w:p w14:paraId="59CF3683" w14:textId="2BAEAEA9" w:rsidR="00B43B00" w:rsidRDefault="00B43B00" w:rsidP="005761F9">
      <w:pPr>
        <w:pStyle w:val="ListParagraph"/>
        <w:numPr>
          <w:ilvl w:val="0"/>
          <w:numId w:val="22"/>
        </w:numPr>
        <w:spacing w:after="0"/>
      </w:pPr>
      <w:r>
        <w:t>One in seven (14.6%) Taft College students receive</w:t>
      </w:r>
      <w:r w:rsidR="0083574E">
        <w:t>s</w:t>
      </w:r>
      <w:r>
        <w:t xml:space="preserve"> Basic Needs support.</w:t>
      </w:r>
    </w:p>
    <w:p w14:paraId="1192F8F0" w14:textId="31BFD202" w:rsidR="00B43B00" w:rsidRDefault="00B43B00" w:rsidP="005761F9">
      <w:pPr>
        <w:pStyle w:val="ListParagraph"/>
        <w:numPr>
          <w:ilvl w:val="0"/>
          <w:numId w:val="22"/>
        </w:numPr>
        <w:spacing w:after="0"/>
      </w:pPr>
      <w:r>
        <w:t>In 2023-2024, 30.0%</w:t>
      </w:r>
      <w:r w:rsidR="00BB1834">
        <w:t xml:space="preserve"> </w:t>
      </w:r>
      <w:r>
        <w:t xml:space="preserve">of Taft College students received the California Promise Grant, 15.3% received a Pell </w:t>
      </w:r>
      <w:r w:rsidR="00BB1834">
        <w:t>G</w:t>
      </w:r>
      <w:r>
        <w:t>rant, and 1.5% were AB540 students. These rates are somewhat lower than the state rates.</w:t>
      </w:r>
    </w:p>
    <w:p w14:paraId="4E64C01D" w14:textId="055F98DB" w:rsidR="00B43B00" w:rsidRDefault="00B43B00" w:rsidP="005F60E4">
      <w:bookmarkStart w:id="124" w:name="_Toc194324210"/>
      <w:r>
        <w:t>Taft C</w:t>
      </w:r>
      <w:r w:rsidR="008D130C">
        <w:t>ollege (Excluding WESTEC)</w:t>
      </w:r>
      <w:bookmarkEnd w:id="124"/>
    </w:p>
    <w:p w14:paraId="0A2B09D5" w14:textId="1B3040DC" w:rsidR="00B43B00" w:rsidRDefault="00B43B00" w:rsidP="005761F9">
      <w:pPr>
        <w:pStyle w:val="ListParagraph"/>
        <w:numPr>
          <w:ilvl w:val="0"/>
          <w:numId w:val="31"/>
        </w:numPr>
        <w:spacing w:after="0"/>
      </w:pPr>
      <w:r>
        <w:t>In recent years,</w:t>
      </w:r>
      <w:r w:rsidR="0028312E">
        <w:t xml:space="preserve"> Taft College has accoun</w:t>
      </w:r>
      <w:r>
        <w:t xml:space="preserve">ted </w:t>
      </w:r>
      <w:r w:rsidR="0028312E">
        <w:t xml:space="preserve">for </w:t>
      </w:r>
      <w:r>
        <w:t xml:space="preserve">40% </w:t>
      </w:r>
      <w:r w:rsidR="0028312E">
        <w:t xml:space="preserve">of the overall </w:t>
      </w:r>
      <w:r>
        <w:t xml:space="preserve">Taft College headcount and 90% of </w:t>
      </w:r>
      <w:r w:rsidR="0028312E">
        <w:t xml:space="preserve">total </w:t>
      </w:r>
      <w:r>
        <w:t>Taft College FTES.</w:t>
      </w:r>
    </w:p>
    <w:p w14:paraId="3024D612" w14:textId="5A431D93" w:rsidR="00B43B00" w:rsidRDefault="00B43B00" w:rsidP="005761F9">
      <w:pPr>
        <w:pStyle w:val="ListParagraph"/>
        <w:numPr>
          <w:ilvl w:val="0"/>
          <w:numId w:val="31"/>
        </w:numPr>
        <w:spacing w:after="0"/>
      </w:pPr>
      <w:r>
        <w:lastRenderedPageBreak/>
        <w:t xml:space="preserve">Prior to the </w:t>
      </w:r>
      <w:r w:rsidR="00BC2144">
        <w:t>COVID-19 pandemic</w:t>
      </w:r>
      <w:r>
        <w:t>, the Taft campus enrolled approximately 4,500 students annually. That number declined in the Pandemic but rose to 3,414 in the 2023-24 academic year.</w:t>
      </w:r>
    </w:p>
    <w:p w14:paraId="10353208" w14:textId="77777777" w:rsidR="00B43B00" w:rsidRDefault="00B43B00" w:rsidP="005761F9">
      <w:pPr>
        <w:pStyle w:val="ListParagraph"/>
        <w:numPr>
          <w:ilvl w:val="0"/>
          <w:numId w:val="31"/>
        </w:numPr>
        <w:spacing w:after="0"/>
      </w:pPr>
      <w:r>
        <w:t>In 2023-2024, the majority (55%) of students at the Taft campus had Degree/Transfer as their educational goal, and an additional 31% were undecided. In recent years, the vast majority of students at the Taft campus have had Degree/Transfer as their educational goal.</w:t>
      </w:r>
    </w:p>
    <w:p w14:paraId="63CD06F0" w14:textId="31FDACC4" w:rsidR="00B43B00" w:rsidRDefault="00B43B00" w:rsidP="005761F9">
      <w:pPr>
        <w:pStyle w:val="ListParagraph"/>
        <w:numPr>
          <w:ilvl w:val="0"/>
          <w:numId w:val="31"/>
        </w:numPr>
        <w:spacing w:after="0"/>
      </w:pPr>
      <w:r>
        <w:t>Taft campus students in 2023-2024</w:t>
      </w:r>
      <w:r w:rsidR="00C172CE">
        <w:t xml:space="preserve"> </w:t>
      </w:r>
      <w:r>
        <w:t>were 66.6% female, 59.3% Latino, and 26.6% White. The majority of students at the Taft campus are traditionally aged college students – 64.8% were 24 or younger in 2023</w:t>
      </w:r>
      <w:r w:rsidR="00C60091">
        <w:noBreakHyphen/>
      </w:r>
      <w:r>
        <w:t>2024.</w:t>
      </w:r>
    </w:p>
    <w:p w14:paraId="4B902191" w14:textId="6706513A" w:rsidR="00B43B00" w:rsidRDefault="00C60091" w:rsidP="005761F9">
      <w:pPr>
        <w:pStyle w:val="ListParagraph"/>
        <w:numPr>
          <w:ilvl w:val="0"/>
          <w:numId w:val="31"/>
        </w:numPr>
        <w:spacing w:after="0"/>
      </w:pPr>
      <w:r>
        <w:t>Compared to statewide, t</w:t>
      </w:r>
      <w:r w:rsidR="00B43B00">
        <w:t>he Taft campus posts higher than average rates of First-Time Students, and higher than average rates of First-Time Transfer students. Conversely, the campus shows lower than average rates of continuing students.</w:t>
      </w:r>
    </w:p>
    <w:p w14:paraId="7E4FB9F0" w14:textId="27F8AB76" w:rsidR="00F07E54" w:rsidRDefault="00B43B00" w:rsidP="005761F9">
      <w:pPr>
        <w:pStyle w:val="ListParagraph"/>
        <w:numPr>
          <w:ilvl w:val="0"/>
          <w:numId w:val="31"/>
        </w:numPr>
        <w:spacing w:after="0"/>
      </w:pPr>
      <w:r>
        <w:t xml:space="preserve">Online enrollments were relatively high at Taft College prior to the </w:t>
      </w:r>
      <w:r w:rsidR="00BC2144">
        <w:t>COVID-19 pandemic</w:t>
      </w:r>
      <w:r>
        <w:t xml:space="preserve"> and they have remained high, with more sections taught online than in person. Success rates continue to be higher in </w:t>
      </w:r>
      <w:r w:rsidR="0083574E">
        <w:t>f</w:t>
      </w:r>
      <w:r>
        <w:t>ace-to-</w:t>
      </w:r>
      <w:r w:rsidR="0083574E">
        <w:t>f</w:t>
      </w:r>
      <w:r>
        <w:t>ace classes, which is true statewide.</w:t>
      </w:r>
    </w:p>
    <w:p w14:paraId="7731A3F6" w14:textId="06C9FCFE" w:rsidR="00B43B00" w:rsidRPr="00E75E49" w:rsidRDefault="00CE7648" w:rsidP="005F60E4">
      <w:bookmarkStart w:id="125" w:name="_Toc194324211"/>
      <w:r w:rsidRPr="00E75E49">
        <w:t>WESTEC</w:t>
      </w:r>
      <w:bookmarkEnd w:id="125"/>
    </w:p>
    <w:p w14:paraId="55F0E702" w14:textId="58B10C32" w:rsidR="00DC3A21" w:rsidRDefault="00DC3A21" w:rsidP="00DC3A21">
      <w:pPr>
        <w:pStyle w:val="ListParagraph"/>
        <w:numPr>
          <w:ilvl w:val="0"/>
          <w:numId w:val="33"/>
        </w:numPr>
        <w:spacing w:after="0"/>
      </w:pPr>
      <w:r>
        <w:t>WESTEC has accounted for 60% of the overall Taft College headcount and around 10% of total Taft College FTES.</w:t>
      </w:r>
    </w:p>
    <w:p w14:paraId="6B6C6201" w14:textId="5490E6BE" w:rsidR="00B43B00" w:rsidRDefault="00B43B00" w:rsidP="005761F9">
      <w:pPr>
        <w:pStyle w:val="ListParagraph"/>
        <w:numPr>
          <w:ilvl w:val="0"/>
          <w:numId w:val="33"/>
        </w:numPr>
        <w:spacing w:after="0"/>
      </w:pPr>
      <w:r>
        <w:t xml:space="preserve">In 2023-2024, the vast majority of </w:t>
      </w:r>
      <w:r w:rsidR="00CE7648">
        <w:t>WESTEC</w:t>
      </w:r>
      <w:r>
        <w:t xml:space="preserve"> students (98%) had Short-Term Career Education as their educational goal.</w:t>
      </w:r>
    </w:p>
    <w:p w14:paraId="10B2A0C8" w14:textId="77777777" w:rsidR="009A1F0B" w:rsidRDefault="00CE7648" w:rsidP="005761F9">
      <w:pPr>
        <w:pStyle w:val="ListParagraph"/>
        <w:numPr>
          <w:ilvl w:val="0"/>
          <w:numId w:val="33"/>
        </w:numPr>
        <w:spacing w:after="0"/>
      </w:pPr>
      <w:r>
        <w:t>WESTEC</w:t>
      </w:r>
      <w:r w:rsidR="00B43B00">
        <w:t xml:space="preserve"> students, in 2023-2024, were 77.7% male, 72.8% Latino, and 8.8% White. </w:t>
      </w:r>
    </w:p>
    <w:p w14:paraId="37F8B16E" w14:textId="10F13609" w:rsidR="00B43B00" w:rsidRDefault="00B43B00" w:rsidP="005761F9">
      <w:pPr>
        <w:pStyle w:val="ListParagraph"/>
        <w:numPr>
          <w:ilvl w:val="0"/>
          <w:numId w:val="33"/>
        </w:numPr>
        <w:spacing w:after="0"/>
      </w:pPr>
      <w:r>
        <w:t xml:space="preserve">The majority of </w:t>
      </w:r>
      <w:r w:rsidR="00CE7648">
        <w:t>WESTEC</w:t>
      </w:r>
      <w:r>
        <w:t xml:space="preserve"> students are non-traditionally aged; 55.5% are aged 35 or older.</w:t>
      </w:r>
    </w:p>
    <w:p w14:paraId="227AC939" w14:textId="77777777" w:rsidR="00C60091" w:rsidRDefault="00C60091" w:rsidP="00C60091">
      <w:pPr>
        <w:spacing w:after="0"/>
        <w:ind w:left="360"/>
      </w:pPr>
    </w:p>
    <w:p w14:paraId="6BF11DAD" w14:textId="77777777" w:rsidR="00B43B00" w:rsidRPr="00E75E49" w:rsidRDefault="00B43B00" w:rsidP="005F60E4">
      <w:bookmarkStart w:id="126" w:name="_Toc194324212"/>
      <w:bookmarkStart w:id="127" w:name="_Toc168762687"/>
      <w:r w:rsidRPr="00E75E49">
        <w:rPr>
          <w:rStyle w:val="Heading4Char"/>
          <w:rFonts w:cstheme="majorBidi"/>
          <w:color w:val="4472C4" w:themeColor="accent1"/>
          <w:sz w:val="24"/>
          <w:szCs w:val="24"/>
          <w:u w:val="none"/>
        </w:rPr>
        <w:t>Student Outcomes</w:t>
      </w:r>
      <w:bookmarkEnd w:id="126"/>
    </w:p>
    <w:bookmarkEnd w:id="127"/>
    <w:p w14:paraId="1C0C675E" w14:textId="77777777" w:rsidR="00B43B00" w:rsidRDefault="00B43B00" w:rsidP="005761F9">
      <w:pPr>
        <w:pStyle w:val="ListParagraph"/>
        <w:numPr>
          <w:ilvl w:val="0"/>
          <w:numId w:val="33"/>
        </w:numPr>
      </w:pPr>
      <w:r>
        <w:t>Degree/Transfer students (primarily at the Taft campus), when compared to their regional and state counterparts, post higher rates of:</w:t>
      </w:r>
    </w:p>
    <w:p w14:paraId="22E63BD2" w14:textId="77777777" w:rsidR="00B43B00" w:rsidRDefault="00B43B00" w:rsidP="005761F9">
      <w:pPr>
        <w:pStyle w:val="ListParagraph"/>
        <w:numPr>
          <w:ilvl w:val="1"/>
          <w:numId w:val="33"/>
        </w:numPr>
      </w:pPr>
      <w:r>
        <w:t>Completion (earning a degree or certificate)</w:t>
      </w:r>
    </w:p>
    <w:p w14:paraId="7591A361" w14:textId="77777777" w:rsidR="00B43B00" w:rsidRDefault="00B43B00" w:rsidP="005761F9">
      <w:pPr>
        <w:pStyle w:val="ListParagraph"/>
        <w:numPr>
          <w:ilvl w:val="1"/>
          <w:numId w:val="33"/>
        </w:numPr>
      </w:pPr>
      <w:r>
        <w:t>Earning a degree with fewer units accumulated</w:t>
      </w:r>
    </w:p>
    <w:p w14:paraId="6F35B400" w14:textId="77777777" w:rsidR="00B43B00" w:rsidRDefault="00B43B00" w:rsidP="005761F9">
      <w:pPr>
        <w:pStyle w:val="ListParagraph"/>
        <w:numPr>
          <w:ilvl w:val="0"/>
          <w:numId w:val="33"/>
        </w:numPr>
      </w:pPr>
      <w:r>
        <w:t>Conversely, Taft Degree/Transfer students post lower rates of:</w:t>
      </w:r>
    </w:p>
    <w:p w14:paraId="7A475643" w14:textId="77777777" w:rsidR="00B43B00" w:rsidRDefault="00B43B00" w:rsidP="005761F9">
      <w:pPr>
        <w:pStyle w:val="ListParagraph"/>
        <w:numPr>
          <w:ilvl w:val="1"/>
          <w:numId w:val="33"/>
        </w:numPr>
      </w:pPr>
      <w:r>
        <w:t>Completing transfer level English and Math in their first year</w:t>
      </w:r>
    </w:p>
    <w:p w14:paraId="1DC548B2" w14:textId="77777777" w:rsidR="00B43B00" w:rsidRDefault="00B43B00" w:rsidP="005761F9">
      <w:pPr>
        <w:pStyle w:val="ListParagraph"/>
        <w:numPr>
          <w:ilvl w:val="1"/>
          <w:numId w:val="33"/>
        </w:numPr>
      </w:pPr>
      <w:r>
        <w:t>Persisting from Fall to Spring</w:t>
      </w:r>
    </w:p>
    <w:p w14:paraId="34828DFC" w14:textId="77777777" w:rsidR="00B43B00" w:rsidRDefault="00B43B00" w:rsidP="005761F9">
      <w:pPr>
        <w:pStyle w:val="ListParagraph"/>
        <w:numPr>
          <w:ilvl w:val="1"/>
          <w:numId w:val="33"/>
        </w:numPr>
      </w:pPr>
      <w:r>
        <w:t>Transferring to a 4-year institution</w:t>
      </w:r>
    </w:p>
    <w:p w14:paraId="0F8DD4AA" w14:textId="29FE5DA4" w:rsidR="00B43B00" w:rsidRDefault="00B43B00" w:rsidP="005761F9">
      <w:pPr>
        <w:pStyle w:val="ListParagraph"/>
        <w:numPr>
          <w:ilvl w:val="0"/>
          <w:numId w:val="33"/>
        </w:numPr>
      </w:pPr>
      <w:r>
        <w:t>UC and, to a lesser extent, CSU admissions rates are lower for Taft College transfer students, but</w:t>
      </w:r>
      <w:r w:rsidR="009E7D98">
        <w:t xml:space="preserve"> </w:t>
      </w:r>
      <w:r w:rsidR="00B4325D">
        <w:t>a higher percentage of the admitted students enroll in courses at a</w:t>
      </w:r>
      <w:r w:rsidR="009E7D98">
        <w:t xml:space="preserve"> UC </w:t>
      </w:r>
      <w:r w:rsidR="00B4325D">
        <w:t>or</w:t>
      </w:r>
      <w:r w:rsidR="009E7D98">
        <w:t xml:space="preserve"> CSU. </w:t>
      </w:r>
    </w:p>
    <w:p w14:paraId="4F24489C" w14:textId="06D5A2CE" w:rsidR="00B43B00" w:rsidRDefault="00B43B00" w:rsidP="005761F9">
      <w:pPr>
        <w:pStyle w:val="ListParagraph"/>
        <w:numPr>
          <w:ilvl w:val="0"/>
          <w:numId w:val="33"/>
        </w:numPr>
      </w:pPr>
      <w:r>
        <w:t>The transfer rate for Taft College students earning an Associate Degree for Transfer (ADT) is much higher than the rate for students earning local Associate Degree (which is awarded with far more frequency).</w:t>
      </w:r>
    </w:p>
    <w:p w14:paraId="3E02741F" w14:textId="7EF86D93" w:rsidR="00B43B00" w:rsidRDefault="00B43B00" w:rsidP="005761F9">
      <w:pPr>
        <w:pStyle w:val="ListParagraph"/>
        <w:numPr>
          <w:ilvl w:val="0"/>
          <w:numId w:val="33"/>
        </w:numPr>
      </w:pPr>
      <w:r>
        <w:t xml:space="preserve">Short-Term Career Education students (primarily at </w:t>
      </w:r>
      <w:r w:rsidR="00CE7648">
        <w:t>WESTEC</w:t>
      </w:r>
      <w:r>
        <w:t>), when compared to their regional and state counterparts, post higher rates of:</w:t>
      </w:r>
    </w:p>
    <w:p w14:paraId="7F2D8EDE" w14:textId="1B7179D5" w:rsidR="00B43B00" w:rsidRDefault="00B43B00" w:rsidP="005761F9">
      <w:pPr>
        <w:pStyle w:val="ListParagraph"/>
        <w:numPr>
          <w:ilvl w:val="1"/>
          <w:numId w:val="33"/>
        </w:numPr>
      </w:pPr>
      <w:r>
        <w:t xml:space="preserve">Successful </w:t>
      </w:r>
      <w:r w:rsidR="0083574E">
        <w:t>c</w:t>
      </w:r>
      <w:r>
        <w:t xml:space="preserve">ourse </w:t>
      </w:r>
      <w:r w:rsidR="0083574E">
        <w:t>c</w:t>
      </w:r>
      <w:r>
        <w:t>ompletion</w:t>
      </w:r>
    </w:p>
    <w:p w14:paraId="11CED10A" w14:textId="77777777" w:rsidR="00B43B00" w:rsidRDefault="00B43B00" w:rsidP="005761F9">
      <w:pPr>
        <w:pStyle w:val="ListParagraph"/>
        <w:numPr>
          <w:ilvl w:val="1"/>
          <w:numId w:val="33"/>
        </w:numPr>
      </w:pPr>
      <w:r>
        <w:t>Post-training earnings</w:t>
      </w:r>
    </w:p>
    <w:p w14:paraId="46361FCF" w14:textId="77777777" w:rsidR="00B43B00" w:rsidRDefault="00B43B00" w:rsidP="005761F9">
      <w:pPr>
        <w:pStyle w:val="ListParagraph"/>
        <w:numPr>
          <w:ilvl w:val="1"/>
          <w:numId w:val="33"/>
        </w:numPr>
      </w:pPr>
      <w:r>
        <w:t>Earning the regional minimum wage</w:t>
      </w:r>
    </w:p>
    <w:p w14:paraId="256F245D" w14:textId="77777777" w:rsidR="00B43B00" w:rsidRPr="00A60205" w:rsidRDefault="00B43B00" w:rsidP="005761F9">
      <w:pPr>
        <w:pStyle w:val="ListParagraph"/>
        <w:numPr>
          <w:ilvl w:val="0"/>
          <w:numId w:val="33"/>
        </w:numPr>
        <w:rPr>
          <w:rFonts w:cstheme="minorHAnsi"/>
          <w:b/>
          <w:bCs/>
          <w:color w:val="000000" w:themeColor="text1"/>
          <w:szCs w:val="22"/>
        </w:rPr>
      </w:pPr>
      <w:r>
        <w:t>The top five Taft College CTE programs (as measured by resulting increases in student wages) are Dental Hygiene, Energy Technology, Management, Business Administration, and Early Care, Education &amp; Family Studies.</w:t>
      </w:r>
    </w:p>
    <w:p w14:paraId="33D2C74C" w14:textId="3B20C4B8" w:rsidR="00B43B00" w:rsidRPr="000F1DAD" w:rsidRDefault="00B43B00" w:rsidP="005761F9">
      <w:pPr>
        <w:pStyle w:val="ListParagraph"/>
        <w:numPr>
          <w:ilvl w:val="0"/>
          <w:numId w:val="33"/>
        </w:numPr>
        <w:spacing w:after="0"/>
        <w:rPr>
          <w:rFonts w:cstheme="minorHAnsi"/>
          <w:b/>
          <w:bCs/>
          <w:color w:val="000000" w:themeColor="text1"/>
          <w:szCs w:val="22"/>
        </w:rPr>
      </w:pPr>
      <w:r>
        <w:t xml:space="preserve">Skills Builders, or non-completing Career Education </w:t>
      </w:r>
      <w:r w:rsidR="006359A6">
        <w:t>s</w:t>
      </w:r>
      <w:r>
        <w:t>tudents (completed 9+ CTE units, but did not earn a degree or certificate) show a wage increase of 45% after their courses and training.</w:t>
      </w:r>
    </w:p>
    <w:p w14:paraId="506C6C15" w14:textId="0E9E0B79" w:rsidR="00B43B00" w:rsidRPr="006359A6" w:rsidRDefault="00B43B00" w:rsidP="00B43B00">
      <w:pPr>
        <w:spacing w:after="0"/>
        <w:ind w:left="360"/>
        <w:rPr>
          <w:i/>
          <w:iCs/>
          <w:sz w:val="20"/>
          <w:szCs w:val="20"/>
        </w:rPr>
      </w:pPr>
      <w:r w:rsidRPr="006359A6">
        <w:rPr>
          <w:i/>
          <w:iCs/>
          <w:sz w:val="20"/>
          <w:szCs w:val="20"/>
        </w:rPr>
        <w:t xml:space="preserve">Source: CCCCO </w:t>
      </w:r>
      <w:proofErr w:type="spellStart"/>
      <w:r w:rsidR="009A1F0B">
        <w:rPr>
          <w:i/>
          <w:iCs/>
          <w:sz w:val="20"/>
          <w:szCs w:val="20"/>
        </w:rPr>
        <w:t>DataVista</w:t>
      </w:r>
      <w:proofErr w:type="spellEnd"/>
      <w:r w:rsidRPr="006359A6">
        <w:rPr>
          <w:i/>
          <w:iCs/>
          <w:sz w:val="20"/>
          <w:szCs w:val="20"/>
        </w:rPr>
        <w:t xml:space="preserve">, UCOP </w:t>
      </w:r>
      <w:proofErr w:type="spellStart"/>
      <w:r w:rsidRPr="006359A6">
        <w:rPr>
          <w:i/>
          <w:iCs/>
          <w:sz w:val="20"/>
          <w:szCs w:val="20"/>
        </w:rPr>
        <w:t>InfoCenter</w:t>
      </w:r>
      <w:proofErr w:type="spellEnd"/>
      <w:r w:rsidRPr="006359A6">
        <w:rPr>
          <w:i/>
          <w:iCs/>
          <w:sz w:val="20"/>
          <w:szCs w:val="20"/>
        </w:rPr>
        <w:t>, CSU Data Analytics, Taft College Office of Institutional Research, and CTEOS – detailed information is included in the Appendix</w:t>
      </w:r>
      <w:r w:rsidR="006359A6" w:rsidRPr="006359A6">
        <w:rPr>
          <w:i/>
          <w:iCs/>
          <w:sz w:val="20"/>
          <w:szCs w:val="20"/>
        </w:rPr>
        <w:t>.</w:t>
      </w:r>
    </w:p>
    <w:p w14:paraId="61A359C4" w14:textId="71B33C57" w:rsidR="00064A5F" w:rsidRDefault="00C15415" w:rsidP="00770D94">
      <w:pPr>
        <w:pStyle w:val="Heading1"/>
      </w:pPr>
      <w:bookmarkStart w:id="128" w:name="_Toc194931253"/>
      <w:bookmarkStart w:id="129" w:name="_Toc194931578"/>
      <w:r>
        <w:lastRenderedPageBreak/>
        <w:t xml:space="preserve">Educational </w:t>
      </w:r>
      <w:r w:rsidR="007B3F66">
        <w:t xml:space="preserve">Master </w:t>
      </w:r>
      <w:r>
        <w:t>Plan Framework</w:t>
      </w:r>
      <w:r w:rsidR="00CB15F1">
        <w:t xml:space="preserve"> and </w:t>
      </w:r>
      <w:r w:rsidR="00CB15F1" w:rsidRPr="00CB15F1">
        <w:t>Educational Master Plan Goals and Objectives</w:t>
      </w:r>
      <w:bookmarkEnd w:id="128"/>
      <w:bookmarkEnd w:id="129"/>
    </w:p>
    <w:p w14:paraId="1C88794E" w14:textId="6A63ED18" w:rsidR="00064A5F" w:rsidRDefault="00487D7C" w:rsidP="00064A5F">
      <w:pPr>
        <w:spacing w:after="0"/>
      </w:pPr>
      <w:r>
        <w:t>I</w:t>
      </w:r>
      <w:r w:rsidR="00064A5F" w:rsidRPr="00B4360C">
        <w:t xml:space="preserve">n </w:t>
      </w:r>
      <w:r>
        <w:t>February</w:t>
      </w:r>
      <w:r w:rsidR="00064A5F">
        <w:t xml:space="preserve"> 202</w:t>
      </w:r>
      <w:r>
        <w:t>5</w:t>
      </w:r>
      <w:r w:rsidR="00064A5F">
        <w:t>,</w:t>
      </w:r>
      <w:r w:rsidR="00064A5F" w:rsidRPr="00B4360C">
        <w:t xml:space="preserve"> the E</w:t>
      </w:r>
      <w:r w:rsidR="00EB134F">
        <w:t xml:space="preserve">ducational </w:t>
      </w:r>
      <w:r w:rsidR="00DB7AF7">
        <w:t xml:space="preserve">Master </w:t>
      </w:r>
      <w:r w:rsidR="00EB134F">
        <w:t>Plan Committee (E</w:t>
      </w:r>
      <w:r w:rsidR="00DB7AF7">
        <w:t>M</w:t>
      </w:r>
      <w:r w:rsidR="00EB134F">
        <w:t>PC)</w:t>
      </w:r>
      <w:r w:rsidR="00064A5F" w:rsidRPr="00B4360C">
        <w:t xml:space="preserve"> engaged in a facilitated, interactive </w:t>
      </w:r>
      <w:r>
        <w:t>six-hour</w:t>
      </w:r>
      <w:r w:rsidR="00064A5F" w:rsidRPr="00B4360C">
        <w:t xml:space="preserve"> session to complete Phase III: Goal</w:t>
      </w:r>
      <w:r w:rsidR="00064A5F">
        <w:t xml:space="preserve"> </w:t>
      </w:r>
      <w:r w:rsidR="00064A5F" w:rsidRPr="00B4360C">
        <w:t xml:space="preserve">Setting. </w:t>
      </w:r>
      <w:r w:rsidR="00AF178B">
        <w:t>T</w:t>
      </w:r>
      <w:r w:rsidR="00AF178B" w:rsidRPr="00B4360C">
        <w:t xml:space="preserve">he </w:t>
      </w:r>
      <w:r w:rsidR="00AF178B">
        <w:t>EMPC</w:t>
      </w:r>
      <w:r w:rsidR="00AF178B" w:rsidRPr="00B4360C">
        <w:t xml:space="preserve"> reviewed </w:t>
      </w:r>
      <w:r w:rsidR="00AF178B">
        <w:t xml:space="preserve">data, trends, listening session themes, and planning assumptions, as well as the challenges and opportunities that were identified through the SOAR analysis. </w:t>
      </w:r>
      <w:r w:rsidR="00064A5F" w:rsidRPr="00B4360C">
        <w:t xml:space="preserve">The session was well-attended, and </w:t>
      </w:r>
      <w:r w:rsidR="00AF178B">
        <w:t xml:space="preserve">the </w:t>
      </w:r>
      <w:r w:rsidR="00EB134F">
        <w:t>E</w:t>
      </w:r>
      <w:r w:rsidR="00DB7AF7">
        <w:t>M</w:t>
      </w:r>
      <w:r w:rsidR="00EB134F">
        <w:t>PC</w:t>
      </w:r>
      <w:r w:rsidR="00064A5F" w:rsidRPr="00B4360C">
        <w:t xml:space="preserve"> members worked diligently throughout the </w:t>
      </w:r>
      <w:r>
        <w:t>session</w:t>
      </w:r>
      <w:r w:rsidR="00064A5F" w:rsidRPr="00B4360C">
        <w:t xml:space="preserve"> to identify broad goals and </w:t>
      </w:r>
      <w:r w:rsidR="00AF178B">
        <w:t>a set of districtwide</w:t>
      </w:r>
      <w:r w:rsidR="00064A5F" w:rsidRPr="00B4360C">
        <w:t xml:space="preserve"> objectives for each goal to provide </w:t>
      </w:r>
      <w:r w:rsidR="00AF178B">
        <w:t xml:space="preserve">a framework for the new ten-year </w:t>
      </w:r>
      <w:r w:rsidR="00064A5F" w:rsidRPr="00B4360C">
        <w:t xml:space="preserve">Educational </w:t>
      </w:r>
      <w:r w:rsidR="008567F7">
        <w:t xml:space="preserve">Master </w:t>
      </w:r>
      <w:r w:rsidR="00064A5F" w:rsidRPr="00B4360C">
        <w:t>Plan</w:t>
      </w:r>
      <w:r w:rsidR="00AF178B">
        <w:t>.</w:t>
      </w:r>
      <w:r w:rsidR="00064A5F" w:rsidRPr="00B4360C">
        <w:t xml:space="preserve"> </w:t>
      </w:r>
    </w:p>
    <w:p w14:paraId="39D24B36" w14:textId="77777777" w:rsidR="00AF178B" w:rsidRDefault="00AF178B" w:rsidP="00064A5F">
      <w:pPr>
        <w:spacing w:after="0"/>
      </w:pPr>
    </w:p>
    <w:p w14:paraId="1696FF50" w14:textId="05218129" w:rsidR="006F3882" w:rsidRDefault="00064A5F" w:rsidP="00CB15F1">
      <w:pPr>
        <w:spacing w:after="0"/>
        <w:rPr>
          <w:rStyle w:val="Heading1Char"/>
          <w:rFonts w:asciiTheme="minorHAnsi" w:hAnsiTheme="minorHAnsi" w:cstheme="minorHAnsi"/>
          <w:color w:val="auto"/>
          <w:sz w:val="28"/>
          <w:szCs w:val="28"/>
        </w:rPr>
      </w:pPr>
      <w:r w:rsidRPr="00120B3A">
        <w:t xml:space="preserve">It is important to note that ongoing planning efforts at the College were incorporated into the </w:t>
      </w:r>
      <w:r w:rsidR="00AF178B" w:rsidRPr="00120B3A">
        <w:t xml:space="preserve">development of the ten-year </w:t>
      </w:r>
      <w:r w:rsidRPr="00120B3A">
        <w:t>goals and objectives</w:t>
      </w:r>
      <w:r w:rsidR="00AF178B" w:rsidRPr="00120B3A">
        <w:t>.</w:t>
      </w:r>
      <w:r w:rsidRPr="00120B3A">
        <w:t xml:space="preserve"> Examples of these efforts include ACCJC Accreditation plans from the Institutional Self-Evaluation Report (ISER), Student Equity Plans, Guided Pathways Scale of Adoption Assessment</w:t>
      </w:r>
      <w:r w:rsidRPr="00B4360C">
        <w:t xml:space="preserve"> (SOAA), </w:t>
      </w:r>
      <w:r w:rsidR="003B1D91">
        <w:t xml:space="preserve">the </w:t>
      </w:r>
      <w:r w:rsidR="00AF178B">
        <w:t xml:space="preserve">Strategic Enrollment Management (SEM) </w:t>
      </w:r>
      <w:r w:rsidR="003B1D91">
        <w:t xml:space="preserve">Plan under development, and collaborative efforts in progress </w:t>
      </w:r>
      <w:r w:rsidR="00120B3A">
        <w:t xml:space="preserve">with </w:t>
      </w:r>
      <w:r w:rsidR="003B1D91">
        <w:t xml:space="preserve">educational, community, and workforce partners. The resulting Educational Master </w:t>
      </w:r>
      <w:r w:rsidR="008567F7">
        <w:t>P</w:t>
      </w:r>
      <w:r w:rsidR="003B1D91">
        <w:t>lan serves as an integrated, overarching document for the many planning efforts at Taft College and also provides direction for facility and technology planning for the College. Its long-range goals and supporting objectives</w:t>
      </w:r>
      <w:r w:rsidR="00120B3A">
        <w:t xml:space="preserve"> are delineated in the next section and are in alignment with both</w:t>
      </w:r>
      <w:r>
        <w:t xml:space="preserve"> </w:t>
      </w:r>
      <w:r w:rsidR="003B1D91">
        <w:t>the</w:t>
      </w:r>
      <w:r>
        <w:t xml:space="preserve"> College</w:t>
      </w:r>
      <w:r w:rsidR="003B1D91">
        <w:t>’s</w:t>
      </w:r>
      <w:r>
        <w:t xml:space="preserve"> mission, </w:t>
      </w:r>
      <w:r w:rsidR="000C3A05">
        <w:t xml:space="preserve">vision, </w:t>
      </w:r>
      <w:r w:rsidR="003B1D91">
        <w:t xml:space="preserve">and </w:t>
      </w:r>
      <w:r w:rsidR="000C3A05">
        <w:t>values</w:t>
      </w:r>
      <w:r>
        <w:t xml:space="preserve">, </w:t>
      </w:r>
      <w:r w:rsidR="00120B3A">
        <w:t xml:space="preserve">and the State’s </w:t>
      </w:r>
      <w:r>
        <w:rPr>
          <w:i/>
          <w:iCs/>
        </w:rPr>
        <w:t>Vision for</w:t>
      </w:r>
      <w:r w:rsidR="00487D7C">
        <w:rPr>
          <w:i/>
          <w:iCs/>
        </w:rPr>
        <w:t xml:space="preserve"> S</w:t>
      </w:r>
      <w:r>
        <w:rPr>
          <w:i/>
          <w:iCs/>
        </w:rPr>
        <w:t xml:space="preserve">uccess </w:t>
      </w:r>
      <w:r>
        <w:t xml:space="preserve">and </w:t>
      </w:r>
      <w:r>
        <w:rPr>
          <w:i/>
          <w:iCs/>
        </w:rPr>
        <w:t>Vision 2030</w:t>
      </w:r>
      <w:r w:rsidR="00120B3A">
        <w:rPr>
          <w:i/>
          <w:iCs/>
        </w:rPr>
        <w:t>.</w:t>
      </w:r>
      <w:bookmarkStart w:id="130" w:name="_Toc194324214"/>
      <w:bookmarkStart w:id="131" w:name="_Toc161987620"/>
      <w:bookmarkStart w:id="132" w:name="_Hlk192709457"/>
    </w:p>
    <w:p w14:paraId="1F1F222D" w14:textId="382F2F84" w:rsidR="006D50A8" w:rsidRDefault="006D50A8" w:rsidP="006F3882">
      <w:pPr>
        <w:pStyle w:val="Heading2"/>
      </w:pPr>
      <w:bookmarkStart w:id="133" w:name="_Toc194322853"/>
      <w:bookmarkStart w:id="134" w:name="_Toc194931254"/>
      <w:bookmarkStart w:id="135" w:name="_Toc194931579"/>
      <w:bookmarkEnd w:id="130"/>
      <w:r w:rsidRPr="00D37688">
        <w:t>Goal 1</w:t>
      </w:r>
      <w:r>
        <w:t xml:space="preserve">:  </w:t>
      </w:r>
      <w:r w:rsidRPr="00D37688">
        <w:t xml:space="preserve">Increase </w:t>
      </w:r>
      <w:r>
        <w:t>s</w:t>
      </w:r>
      <w:r w:rsidRPr="00D37688">
        <w:t xml:space="preserve">tudent </w:t>
      </w:r>
      <w:r>
        <w:t>e</w:t>
      </w:r>
      <w:r w:rsidRPr="00D37688">
        <w:t>nrollment</w:t>
      </w:r>
      <w:r w:rsidR="004F0728">
        <w:t>.</w:t>
      </w:r>
      <w:bookmarkEnd w:id="133"/>
      <w:bookmarkEnd w:id="134"/>
      <w:bookmarkEnd w:id="135"/>
    </w:p>
    <w:p w14:paraId="7D284A1C" w14:textId="794D45F4" w:rsidR="00357348" w:rsidRPr="00357348" w:rsidRDefault="00357348" w:rsidP="00357348">
      <w:r w:rsidRPr="00357348">
        <w:t>To grow student enrollment, Taft college will implement strategies aimed at enhancing course accessibility and outreach.</w:t>
      </w:r>
    </w:p>
    <w:p w14:paraId="1E97C1E8" w14:textId="2FF1771E" w:rsidR="006D50A8" w:rsidRPr="00D22BAF" w:rsidRDefault="006D50A8" w:rsidP="000C0E86">
      <w:pPr>
        <w:pStyle w:val="Heading4"/>
        <w:spacing w:after="120"/>
      </w:pPr>
      <w:r w:rsidRPr="00D22BAF">
        <w:t>Objective 1.1</w:t>
      </w:r>
    </w:p>
    <w:p w14:paraId="2D22CC0C" w14:textId="21E70970" w:rsidR="00832D20" w:rsidRPr="00832D20" w:rsidRDefault="00357348" w:rsidP="00832D20">
      <w:pPr>
        <w:pStyle w:val="xmsonormal"/>
        <w:shd w:val="clear" w:color="auto" w:fill="FFFFFF"/>
        <w:ind w:left="360"/>
        <w:rPr>
          <w:rFonts w:eastAsia="Times New Roman"/>
          <w:sz w:val="24"/>
        </w:rPr>
      </w:pPr>
      <w:r>
        <w:rPr>
          <w:rFonts w:ascii="Aptos" w:eastAsia="Times New Roman" w:hAnsi="Aptos"/>
        </w:rPr>
        <w:t>Increase the number of online courses wit</w:t>
      </w:r>
      <w:r w:rsidRPr="00832D20">
        <w:rPr>
          <w:rFonts w:ascii="Aptos" w:eastAsia="Times New Roman" w:hAnsi="Aptos"/>
        </w:rPr>
        <w:t>h CVC badging, offering students greater flexibility in course selection and attracting enrollments from other colleges</w:t>
      </w:r>
    </w:p>
    <w:p w14:paraId="4573C64F" w14:textId="77777777" w:rsidR="00357348" w:rsidRDefault="00357348" w:rsidP="00357348">
      <w:pPr>
        <w:pStyle w:val="xmsonormal"/>
        <w:shd w:val="clear" w:color="auto" w:fill="FFFFFF"/>
        <w:ind w:left="360" w:hanging="270"/>
        <w:rPr>
          <w:rFonts w:asciiTheme="minorHAnsi" w:eastAsia="Times New Roman" w:hAnsiTheme="minorHAnsi" w:cstheme="minorHAnsi"/>
          <w:color w:val="538135" w:themeColor="accent6" w:themeShade="BF"/>
          <w:u w:val="single"/>
        </w:rPr>
      </w:pPr>
      <w:r w:rsidRPr="00357348">
        <w:rPr>
          <w:rFonts w:asciiTheme="minorHAnsi" w:eastAsia="Times New Roman" w:hAnsiTheme="minorHAnsi" w:cstheme="minorHAnsi"/>
          <w:color w:val="538135" w:themeColor="accent6" w:themeShade="BF"/>
          <w:u w:val="single"/>
        </w:rPr>
        <w:t xml:space="preserve">Objective 1.2: </w:t>
      </w:r>
    </w:p>
    <w:p w14:paraId="7DBBF6B6" w14:textId="69D9E2DB" w:rsidR="00357348" w:rsidRDefault="00357348" w:rsidP="00357348">
      <w:pPr>
        <w:pStyle w:val="xmsonormal"/>
        <w:shd w:val="clear" w:color="auto" w:fill="FFFFFF"/>
        <w:tabs>
          <w:tab w:val="left" w:pos="360"/>
        </w:tabs>
        <w:ind w:left="360"/>
        <w:rPr>
          <w:rFonts w:eastAsia="Times New Roman"/>
          <w:sz w:val="24"/>
        </w:rPr>
      </w:pPr>
      <w:r>
        <w:rPr>
          <w:rFonts w:ascii="Aptos" w:eastAsia="Times New Roman" w:hAnsi="Aptos"/>
        </w:rPr>
        <w:t xml:space="preserve">Expand the availability of </w:t>
      </w:r>
      <w:r w:rsidRPr="00832D20">
        <w:rPr>
          <w:rFonts w:ascii="Aptos" w:eastAsia="Times New Roman" w:hAnsi="Aptos"/>
        </w:rPr>
        <w:t>ZTC (Zero Textbook Cost) textbooks,</w:t>
      </w:r>
      <w:r>
        <w:rPr>
          <w:rFonts w:ascii="Aptos" w:eastAsia="Times New Roman" w:hAnsi="Aptos"/>
        </w:rPr>
        <w:t xml:space="preserve"> to reduce financial barriers and making courses more accessible and attractive to a wider student audience.</w:t>
      </w:r>
    </w:p>
    <w:p w14:paraId="653B2F40" w14:textId="77777777" w:rsidR="00357348" w:rsidRPr="00357348" w:rsidRDefault="00357348" w:rsidP="00357348">
      <w:pPr>
        <w:pStyle w:val="xmsonormal"/>
        <w:shd w:val="clear" w:color="auto" w:fill="FFFFFF"/>
        <w:ind w:left="360" w:hanging="270"/>
        <w:rPr>
          <w:rFonts w:asciiTheme="minorHAnsi" w:eastAsia="Times New Roman" w:hAnsiTheme="minorHAnsi" w:cstheme="minorHAnsi"/>
          <w:color w:val="538135" w:themeColor="accent6" w:themeShade="BF"/>
          <w:u w:val="single"/>
        </w:rPr>
      </w:pPr>
      <w:r w:rsidRPr="00357348">
        <w:rPr>
          <w:rFonts w:asciiTheme="minorHAnsi" w:eastAsia="Times New Roman" w:hAnsiTheme="minorHAnsi" w:cstheme="minorHAnsi"/>
          <w:color w:val="538135" w:themeColor="accent6" w:themeShade="BF"/>
          <w:u w:val="single"/>
        </w:rPr>
        <w:t xml:space="preserve">Objective 1.3: </w:t>
      </w:r>
    </w:p>
    <w:p w14:paraId="3F43B9FD" w14:textId="6AA3F004" w:rsidR="00357348" w:rsidRDefault="00357348" w:rsidP="00357348">
      <w:pPr>
        <w:pStyle w:val="xmsonormal"/>
        <w:shd w:val="clear" w:color="auto" w:fill="FFFFFF"/>
        <w:ind w:left="360"/>
        <w:rPr>
          <w:rFonts w:eastAsia="Times New Roman"/>
        </w:rPr>
      </w:pPr>
      <w:r>
        <w:rPr>
          <w:rFonts w:ascii="Aptos" w:eastAsia="Times New Roman" w:hAnsi="Aptos"/>
        </w:rPr>
        <w:t xml:space="preserve">Complete a </w:t>
      </w:r>
      <w:r w:rsidRPr="00832D20">
        <w:rPr>
          <w:rFonts w:ascii="Aptos" w:eastAsia="Times New Roman" w:hAnsi="Aptos"/>
        </w:rPr>
        <w:t>Strategic Enrollment Management (SEM) Plan,</w:t>
      </w:r>
      <w:r>
        <w:rPr>
          <w:rFonts w:ascii="Aptos" w:eastAsia="Times New Roman" w:hAnsi="Aptos"/>
        </w:rPr>
        <w:t xml:space="preserve"> establishing a structured approach to improving recruitment, retention, and enrollment strategies.</w:t>
      </w:r>
    </w:p>
    <w:p w14:paraId="0E556579" w14:textId="77777777" w:rsidR="00357348" w:rsidRPr="00357348" w:rsidRDefault="00357348" w:rsidP="00357348">
      <w:pPr>
        <w:pStyle w:val="xmsonormal"/>
        <w:shd w:val="clear" w:color="auto" w:fill="FFFFFF"/>
        <w:ind w:left="360" w:hanging="270"/>
        <w:rPr>
          <w:rFonts w:asciiTheme="minorHAnsi" w:eastAsia="Times New Roman" w:hAnsiTheme="minorHAnsi" w:cstheme="minorHAnsi"/>
          <w:color w:val="538135" w:themeColor="accent6" w:themeShade="BF"/>
          <w:u w:val="single"/>
        </w:rPr>
      </w:pPr>
      <w:r w:rsidRPr="00357348">
        <w:rPr>
          <w:rFonts w:asciiTheme="minorHAnsi" w:eastAsia="Times New Roman" w:hAnsiTheme="minorHAnsi" w:cstheme="minorHAnsi"/>
          <w:color w:val="538135" w:themeColor="accent6" w:themeShade="BF"/>
          <w:u w:val="single"/>
        </w:rPr>
        <w:t xml:space="preserve">Objective 1.4: </w:t>
      </w:r>
    </w:p>
    <w:p w14:paraId="03A190E7" w14:textId="2E3BCB28" w:rsidR="00357348" w:rsidRDefault="00357348" w:rsidP="00357348">
      <w:pPr>
        <w:pStyle w:val="xmsonormal"/>
        <w:shd w:val="clear" w:color="auto" w:fill="FFFFFF"/>
        <w:ind w:left="360"/>
        <w:rPr>
          <w:rFonts w:eastAsia="Times New Roman"/>
        </w:rPr>
      </w:pPr>
      <w:r>
        <w:rPr>
          <w:rFonts w:ascii="Aptos" w:eastAsia="Times New Roman" w:hAnsi="Aptos"/>
        </w:rPr>
        <w:t xml:space="preserve">Strengthen </w:t>
      </w:r>
      <w:r w:rsidRPr="00832D20">
        <w:rPr>
          <w:rFonts w:ascii="Aptos" w:eastAsia="Times New Roman" w:hAnsi="Aptos"/>
        </w:rPr>
        <w:t xml:space="preserve">outreach efforts </w:t>
      </w:r>
      <w:r>
        <w:rPr>
          <w:rFonts w:ascii="Aptos" w:eastAsia="Times New Roman" w:hAnsi="Aptos"/>
        </w:rPr>
        <w:t>within the Taft community, to motivate more local students to enroll and contribute to population growth.</w:t>
      </w:r>
    </w:p>
    <w:p w14:paraId="02760FF9" w14:textId="77777777" w:rsidR="00357348" w:rsidRPr="00357348" w:rsidRDefault="00357348" w:rsidP="00357348">
      <w:pPr>
        <w:pStyle w:val="xmsonormal"/>
        <w:shd w:val="clear" w:color="auto" w:fill="FFFFFF"/>
        <w:ind w:left="360" w:hanging="270"/>
        <w:rPr>
          <w:rFonts w:asciiTheme="minorHAnsi" w:eastAsia="Times New Roman" w:hAnsiTheme="minorHAnsi" w:cstheme="minorHAnsi"/>
          <w:color w:val="538135" w:themeColor="accent6" w:themeShade="BF"/>
          <w:u w:val="single"/>
        </w:rPr>
      </w:pPr>
      <w:r w:rsidRPr="00357348">
        <w:rPr>
          <w:rFonts w:asciiTheme="minorHAnsi" w:eastAsia="Times New Roman" w:hAnsiTheme="minorHAnsi" w:cstheme="minorHAnsi"/>
          <w:color w:val="538135" w:themeColor="accent6" w:themeShade="BF"/>
          <w:u w:val="single"/>
        </w:rPr>
        <w:t xml:space="preserve">Objective 1.5: </w:t>
      </w:r>
    </w:p>
    <w:p w14:paraId="50DA03E2" w14:textId="46ED811E" w:rsidR="00357348" w:rsidRDefault="00357348" w:rsidP="00CE4722">
      <w:pPr>
        <w:pStyle w:val="xmsonormal"/>
        <w:shd w:val="clear" w:color="auto" w:fill="FFFFFF"/>
        <w:ind w:left="360"/>
        <w:rPr>
          <w:rFonts w:ascii="Aptos" w:eastAsia="Times New Roman" w:hAnsi="Aptos"/>
        </w:rPr>
      </w:pPr>
      <w:r>
        <w:rPr>
          <w:rFonts w:ascii="Aptos" w:eastAsia="Times New Roman" w:hAnsi="Aptos"/>
        </w:rPr>
        <w:t xml:space="preserve">Actively promoting </w:t>
      </w:r>
      <w:r w:rsidRPr="00832D20">
        <w:rPr>
          <w:rFonts w:ascii="Aptos" w:eastAsia="Times New Roman" w:hAnsi="Aptos"/>
        </w:rPr>
        <w:t>programs and resources</w:t>
      </w:r>
      <w:r>
        <w:rPr>
          <w:rFonts w:ascii="Aptos" w:eastAsia="Times New Roman" w:hAnsi="Aptos"/>
        </w:rPr>
        <w:t xml:space="preserve"> to students in outlying areas, to broaden the college's reach and attracting students from diverse geographic regions.</w:t>
      </w:r>
    </w:p>
    <w:p w14:paraId="56D3E03F" w14:textId="2FEF0CDB" w:rsidR="00357348" w:rsidRPr="00357348" w:rsidRDefault="00357348" w:rsidP="006F3882">
      <w:pPr>
        <w:pStyle w:val="Heading2"/>
      </w:pPr>
      <w:bookmarkStart w:id="136" w:name="_Toc194322854"/>
      <w:bookmarkStart w:id="137" w:name="_Toc194931255"/>
      <w:bookmarkStart w:id="138" w:name="_Toc194931580"/>
      <w:r w:rsidRPr="00357348">
        <w:t>Goal 2: Improve Retention and Success Rates</w:t>
      </w:r>
      <w:bookmarkEnd w:id="136"/>
      <w:r w:rsidR="00106696">
        <w:t xml:space="preserve"> Including Program Completion, Transfer, and Graduation</w:t>
      </w:r>
      <w:bookmarkEnd w:id="137"/>
      <w:bookmarkEnd w:id="138"/>
    </w:p>
    <w:p w14:paraId="194EC75A" w14:textId="4D8B027C" w:rsidR="00357348" w:rsidRDefault="00357348" w:rsidP="00357348">
      <w:pPr>
        <w:pStyle w:val="xmsonormal"/>
        <w:shd w:val="clear" w:color="auto" w:fill="FFFFFF"/>
      </w:pPr>
      <w:r>
        <w:rPr>
          <w:rFonts w:ascii="Aptos" w:hAnsi="Aptos"/>
        </w:rPr>
        <w:t>Retention and student success are rooted in a supportive learning environment, access to resources, and structured academic pathways</w:t>
      </w:r>
      <w:r w:rsidR="00F83050">
        <w:rPr>
          <w:rFonts w:ascii="Aptos" w:hAnsi="Aptos"/>
        </w:rPr>
        <w:t xml:space="preserve"> from admission through completion of Taft College programs. </w:t>
      </w:r>
    </w:p>
    <w:p w14:paraId="344F87C7" w14:textId="77777777" w:rsidR="00357348" w:rsidRPr="00357348" w:rsidRDefault="00357348" w:rsidP="00357348">
      <w:pPr>
        <w:pStyle w:val="xmsonormal"/>
        <w:shd w:val="clear" w:color="auto" w:fill="FFFFFF"/>
        <w:ind w:left="360" w:hanging="270"/>
        <w:rPr>
          <w:rFonts w:asciiTheme="minorHAnsi" w:eastAsia="Times New Roman" w:hAnsiTheme="minorHAnsi" w:cstheme="minorHAnsi"/>
          <w:color w:val="538135" w:themeColor="accent6" w:themeShade="BF"/>
          <w:u w:val="single"/>
        </w:rPr>
      </w:pPr>
      <w:r w:rsidRPr="00357348">
        <w:rPr>
          <w:rFonts w:asciiTheme="minorHAnsi" w:eastAsia="Times New Roman" w:hAnsiTheme="minorHAnsi" w:cstheme="minorHAnsi"/>
          <w:color w:val="538135" w:themeColor="accent6" w:themeShade="BF"/>
          <w:u w:val="single"/>
        </w:rPr>
        <w:t xml:space="preserve">Objective 2.1: </w:t>
      </w:r>
    </w:p>
    <w:p w14:paraId="5DECE108" w14:textId="2CF64DE2" w:rsidR="00357348" w:rsidRDefault="00357348" w:rsidP="00357348">
      <w:pPr>
        <w:pStyle w:val="xmsonormal"/>
        <w:shd w:val="clear" w:color="auto" w:fill="FFFFFF"/>
        <w:ind w:left="360"/>
        <w:rPr>
          <w:rFonts w:eastAsia="Times New Roman"/>
        </w:rPr>
      </w:pPr>
      <w:r>
        <w:rPr>
          <w:rFonts w:ascii="Aptos" w:eastAsia="Times New Roman" w:hAnsi="Aptos"/>
        </w:rPr>
        <w:t>Enhance</w:t>
      </w:r>
      <w:r w:rsidRPr="00832D20">
        <w:rPr>
          <w:rFonts w:ascii="Aptos" w:eastAsia="Times New Roman" w:hAnsi="Aptos"/>
        </w:rPr>
        <w:t xml:space="preserve"> mentoring and tutoring programs, </w:t>
      </w:r>
      <w:r>
        <w:rPr>
          <w:rFonts w:ascii="Aptos" w:eastAsia="Times New Roman" w:hAnsi="Aptos"/>
        </w:rPr>
        <w:t>offering students additional academic support, boosting retention rates</w:t>
      </w:r>
      <w:r w:rsidR="00F83050">
        <w:rPr>
          <w:rFonts w:ascii="Aptos" w:eastAsia="Times New Roman" w:hAnsi="Aptos"/>
        </w:rPr>
        <w:t xml:space="preserve"> and graduation rates</w:t>
      </w:r>
      <w:r>
        <w:rPr>
          <w:rFonts w:ascii="Aptos" w:eastAsia="Times New Roman" w:hAnsi="Aptos"/>
        </w:rPr>
        <w:t>.</w:t>
      </w:r>
    </w:p>
    <w:p w14:paraId="6A0D3668" w14:textId="77777777" w:rsidR="00357348" w:rsidRPr="00357348" w:rsidRDefault="00357348" w:rsidP="00357348">
      <w:pPr>
        <w:pStyle w:val="xmsonormal"/>
        <w:shd w:val="clear" w:color="auto" w:fill="FFFFFF"/>
        <w:ind w:left="360" w:hanging="270"/>
        <w:rPr>
          <w:rFonts w:asciiTheme="minorHAnsi" w:eastAsia="Times New Roman" w:hAnsiTheme="minorHAnsi" w:cstheme="minorHAnsi"/>
          <w:color w:val="538135" w:themeColor="accent6" w:themeShade="BF"/>
          <w:u w:val="single"/>
        </w:rPr>
      </w:pPr>
      <w:r w:rsidRPr="00357348">
        <w:rPr>
          <w:rFonts w:asciiTheme="minorHAnsi" w:eastAsia="Times New Roman" w:hAnsiTheme="minorHAnsi" w:cstheme="minorHAnsi"/>
          <w:color w:val="538135" w:themeColor="accent6" w:themeShade="BF"/>
          <w:u w:val="single"/>
        </w:rPr>
        <w:t xml:space="preserve">Objective 2.2: </w:t>
      </w:r>
    </w:p>
    <w:p w14:paraId="62311AB0" w14:textId="264CA995" w:rsidR="00357348" w:rsidRDefault="00357348" w:rsidP="00357348">
      <w:pPr>
        <w:pStyle w:val="xmsonormal"/>
        <w:shd w:val="clear" w:color="auto" w:fill="FFFFFF"/>
        <w:ind w:left="360"/>
        <w:rPr>
          <w:rFonts w:ascii="Aptos" w:eastAsia="Times New Roman" w:hAnsi="Aptos"/>
        </w:rPr>
      </w:pPr>
      <w:r>
        <w:rPr>
          <w:rFonts w:ascii="Aptos" w:eastAsia="Times New Roman" w:hAnsi="Aptos"/>
        </w:rPr>
        <w:t xml:space="preserve">Expand </w:t>
      </w:r>
      <w:r w:rsidRPr="00832D20">
        <w:rPr>
          <w:rFonts w:ascii="Aptos" w:eastAsia="Times New Roman" w:hAnsi="Aptos"/>
        </w:rPr>
        <w:t>mental health services, t</w:t>
      </w:r>
      <w:r>
        <w:rPr>
          <w:rFonts w:ascii="Aptos" w:eastAsia="Times New Roman" w:hAnsi="Aptos"/>
        </w:rPr>
        <w:t>o support student well-being, a critical factor in maintaining engagement and academic persistence.</w:t>
      </w:r>
    </w:p>
    <w:p w14:paraId="2EB49B20" w14:textId="3AF39E4A" w:rsidR="00F83050" w:rsidRPr="00357348" w:rsidRDefault="00F83050" w:rsidP="00F83050">
      <w:pPr>
        <w:pStyle w:val="xmsonormal"/>
        <w:shd w:val="clear" w:color="auto" w:fill="FFFFFF"/>
        <w:ind w:left="360" w:hanging="270"/>
        <w:rPr>
          <w:rFonts w:asciiTheme="minorHAnsi" w:eastAsia="Times New Roman" w:hAnsiTheme="minorHAnsi" w:cstheme="minorHAnsi"/>
          <w:color w:val="538135" w:themeColor="accent6" w:themeShade="BF"/>
          <w:u w:val="single"/>
        </w:rPr>
      </w:pPr>
      <w:r w:rsidRPr="00357348">
        <w:rPr>
          <w:rFonts w:asciiTheme="minorHAnsi" w:eastAsia="Times New Roman" w:hAnsiTheme="minorHAnsi" w:cstheme="minorHAnsi"/>
          <w:color w:val="538135" w:themeColor="accent6" w:themeShade="BF"/>
          <w:u w:val="single"/>
        </w:rPr>
        <w:lastRenderedPageBreak/>
        <w:t>Objective 2.</w:t>
      </w:r>
      <w:r>
        <w:rPr>
          <w:rFonts w:asciiTheme="minorHAnsi" w:eastAsia="Times New Roman" w:hAnsiTheme="minorHAnsi" w:cstheme="minorHAnsi"/>
          <w:color w:val="538135" w:themeColor="accent6" w:themeShade="BF"/>
          <w:u w:val="single"/>
        </w:rPr>
        <w:t>3</w:t>
      </w:r>
      <w:r w:rsidRPr="00357348">
        <w:rPr>
          <w:rFonts w:asciiTheme="minorHAnsi" w:eastAsia="Times New Roman" w:hAnsiTheme="minorHAnsi" w:cstheme="minorHAnsi"/>
          <w:color w:val="538135" w:themeColor="accent6" w:themeShade="BF"/>
          <w:u w:val="single"/>
        </w:rPr>
        <w:t xml:space="preserve">: </w:t>
      </w:r>
    </w:p>
    <w:p w14:paraId="00BB5B92" w14:textId="330F1B43" w:rsidR="00F83050" w:rsidRPr="00F83050" w:rsidRDefault="00F83050" w:rsidP="00F83050">
      <w:pPr>
        <w:pStyle w:val="xmsonormal"/>
        <w:shd w:val="clear" w:color="auto" w:fill="FFFFFF"/>
        <w:ind w:left="360"/>
        <w:rPr>
          <w:rFonts w:ascii="Aptos" w:eastAsia="Times New Roman" w:hAnsi="Aptos"/>
        </w:rPr>
      </w:pPr>
      <w:r>
        <w:rPr>
          <w:rFonts w:ascii="Aptos" w:eastAsia="Times New Roman" w:hAnsi="Aptos"/>
        </w:rPr>
        <w:t xml:space="preserve">Develop </w:t>
      </w:r>
      <w:r w:rsidRPr="00832D20">
        <w:rPr>
          <w:rFonts w:ascii="Aptos" w:eastAsia="Times New Roman" w:hAnsi="Aptos"/>
        </w:rPr>
        <w:t>student engagement strategies,</w:t>
      </w:r>
      <w:r>
        <w:rPr>
          <w:rFonts w:ascii="Aptos" w:eastAsia="Times New Roman" w:hAnsi="Aptos"/>
        </w:rPr>
        <w:t xml:space="preserve"> to cultivate a strong sense of belonging and motivation to persist in their studies.</w:t>
      </w:r>
    </w:p>
    <w:p w14:paraId="1466FCAB" w14:textId="05E97A15" w:rsidR="00357348" w:rsidRPr="00357348" w:rsidRDefault="00357348" w:rsidP="00357348">
      <w:pPr>
        <w:pStyle w:val="xmsonormal"/>
        <w:shd w:val="clear" w:color="auto" w:fill="FFFFFF"/>
        <w:ind w:left="360" w:hanging="270"/>
        <w:rPr>
          <w:rFonts w:asciiTheme="minorHAnsi" w:eastAsia="Times New Roman" w:hAnsiTheme="minorHAnsi" w:cstheme="minorHAnsi"/>
          <w:color w:val="538135" w:themeColor="accent6" w:themeShade="BF"/>
          <w:u w:val="single"/>
        </w:rPr>
      </w:pPr>
      <w:r w:rsidRPr="00357348">
        <w:rPr>
          <w:rFonts w:asciiTheme="minorHAnsi" w:eastAsia="Times New Roman" w:hAnsiTheme="minorHAnsi" w:cstheme="minorHAnsi"/>
          <w:color w:val="538135" w:themeColor="accent6" w:themeShade="BF"/>
          <w:u w:val="single"/>
        </w:rPr>
        <w:t>Objective 2.</w:t>
      </w:r>
      <w:r w:rsidR="00F83050">
        <w:rPr>
          <w:rFonts w:asciiTheme="minorHAnsi" w:eastAsia="Times New Roman" w:hAnsiTheme="minorHAnsi" w:cstheme="minorHAnsi"/>
          <w:color w:val="538135" w:themeColor="accent6" w:themeShade="BF"/>
          <w:u w:val="single"/>
        </w:rPr>
        <w:t>4</w:t>
      </w:r>
      <w:r w:rsidRPr="00357348">
        <w:rPr>
          <w:rFonts w:asciiTheme="minorHAnsi" w:eastAsia="Times New Roman" w:hAnsiTheme="minorHAnsi" w:cstheme="minorHAnsi"/>
          <w:color w:val="538135" w:themeColor="accent6" w:themeShade="BF"/>
          <w:u w:val="single"/>
        </w:rPr>
        <w:t xml:space="preserve">: </w:t>
      </w:r>
    </w:p>
    <w:p w14:paraId="04080BD4" w14:textId="661279F1" w:rsidR="00357348" w:rsidRDefault="00357348" w:rsidP="00357348">
      <w:pPr>
        <w:pStyle w:val="xmsonormal"/>
        <w:shd w:val="clear" w:color="auto" w:fill="FFFFFF"/>
        <w:ind w:left="360"/>
        <w:rPr>
          <w:rFonts w:eastAsia="Times New Roman"/>
        </w:rPr>
      </w:pPr>
      <w:r>
        <w:rPr>
          <w:rFonts w:ascii="Aptos" w:eastAsia="Times New Roman" w:hAnsi="Aptos"/>
        </w:rPr>
        <w:t xml:space="preserve">Optimize </w:t>
      </w:r>
      <w:r w:rsidRPr="00832D20">
        <w:rPr>
          <w:rFonts w:ascii="Aptos" w:eastAsia="Times New Roman" w:hAnsi="Aptos"/>
        </w:rPr>
        <w:t>Guided Pathways,</w:t>
      </w:r>
      <w:r>
        <w:rPr>
          <w:rFonts w:ascii="Aptos" w:eastAsia="Times New Roman" w:hAnsi="Aptos"/>
        </w:rPr>
        <w:t xml:space="preserve"> to provide clearer academic and career roadmaps, reducing confusion and increasing completion rates.</w:t>
      </w:r>
    </w:p>
    <w:p w14:paraId="115A5241" w14:textId="5500CA3F" w:rsidR="00357348" w:rsidRPr="00357348" w:rsidRDefault="00357348" w:rsidP="00357348">
      <w:pPr>
        <w:pStyle w:val="xmsonormal"/>
        <w:shd w:val="clear" w:color="auto" w:fill="FFFFFF"/>
        <w:ind w:left="360" w:hanging="270"/>
        <w:rPr>
          <w:rFonts w:asciiTheme="minorHAnsi" w:eastAsia="Times New Roman" w:hAnsiTheme="minorHAnsi" w:cstheme="minorHAnsi"/>
          <w:color w:val="538135" w:themeColor="accent6" w:themeShade="BF"/>
          <w:u w:val="single"/>
        </w:rPr>
      </w:pPr>
      <w:r w:rsidRPr="00357348">
        <w:rPr>
          <w:rFonts w:asciiTheme="minorHAnsi" w:eastAsia="Times New Roman" w:hAnsiTheme="minorHAnsi" w:cstheme="minorHAnsi"/>
          <w:color w:val="538135" w:themeColor="accent6" w:themeShade="BF"/>
          <w:u w:val="single"/>
        </w:rPr>
        <w:t>Objective 2.</w:t>
      </w:r>
      <w:r w:rsidR="00F83050">
        <w:rPr>
          <w:rFonts w:asciiTheme="minorHAnsi" w:eastAsia="Times New Roman" w:hAnsiTheme="minorHAnsi" w:cstheme="minorHAnsi"/>
          <w:color w:val="538135" w:themeColor="accent6" w:themeShade="BF"/>
          <w:u w:val="single"/>
        </w:rPr>
        <w:t>5</w:t>
      </w:r>
      <w:r w:rsidRPr="00357348">
        <w:rPr>
          <w:rFonts w:asciiTheme="minorHAnsi" w:eastAsia="Times New Roman" w:hAnsiTheme="minorHAnsi" w:cstheme="minorHAnsi"/>
          <w:color w:val="538135" w:themeColor="accent6" w:themeShade="BF"/>
          <w:u w:val="single"/>
        </w:rPr>
        <w:t>:</w:t>
      </w:r>
    </w:p>
    <w:p w14:paraId="7882C560" w14:textId="3FB156C3" w:rsidR="00357348" w:rsidRDefault="00357348" w:rsidP="00357348">
      <w:pPr>
        <w:pStyle w:val="xmsonormal"/>
        <w:shd w:val="clear" w:color="auto" w:fill="FFFFFF"/>
        <w:ind w:left="360"/>
        <w:rPr>
          <w:rFonts w:ascii="Aptos" w:eastAsia="Times New Roman" w:hAnsi="Aptos"/>
        </w:rPr>
      </w:pPr>
      <w:r>
        <w:rPr>
          <w:rFonts w:ascii="Aptos" w:eastAsia="Times New Roman" w:hAnsi="Aptos"/>
        </w:rPr>
        <w:t xml:space="preserve"> Strengthen </w:t>
      </w:r>
      <w:r w:rsidRPr="00832D20">
        <w:rPr>
          <w:rFonts w:ascii="Aptos" w:eastAsia="Times New Roman" w:hAnsi="Aptos"/>
        </w:rPr>
        <w:t>certificate scaffolding,</w:t>
      </w:r>
      <w:r>
        <w:rPr>
          <w:rFonts w:ascii="Aptos" w:eastAsia="Times New Roman" w:hAnsi="Aptos"/>
        </w:rPr>
        <w:t xml:space="preserve"> to create more structured pathways for earning stackable credentials, improving workforce readiness.</w:t>
      </w:r>
    </w:p>
    <w:p w14:paraId="10A387FD" w14:textId="77777777" w:rsidR="00F83050" w:rsidRPr="00357348" w:rsidRDefault="00F83050" w:rsidP="00F83050">
      <w:pPr>
        <w:pStyle w:val="xmsonormal"/>
        <w:shd w:val="clear" w:color="auto" w:fill="FFFFFF"/>
        <w:ind w:left="360" w:hanging="270"/>
        <w:rPr>
          <w:rFonts w:asciiTheme="minorHAnsi" w:eastAsia="Times New Roman" w:hAnsiTheme="minorHAnsi" w:cstheme="minorHAnsi"/>
          <w:color w:val="538135" w:themeColor="accent6" w:themeShade="BF"/>
          <w:u w:val="single"/>
        </w:rPr>
      </w:pPr>
      <w:r w:rsidRPr="00357348">
        <w:rPr>
          <w:rFonts w:asciiTheme="minorHAnsi" w:eastAsia="Times New Roman" w:hAnsiTheme="minorHAnsi" w:cstheme="minorHAnsi"/>
          <w:color w:val="538135" w:themeColor="accent6" w:themeShade="BF"/>
          <w:u w:val="single"/>
        </w:rPr>
        <w:t>Objective 2.</w:t>
      </w:r>
      <w:r>
        <w:rPr>
          <w:rFonts w:asciiTheme="minorHAnsi" w:eastAsia="Times New Roman" w:hAnsiTheme="minorHAnsi" w:cstheme="minorHAnsi"/>
          <w:color w:val="538135" w:themeColor="accent6" w:themeShade="BF"/>
          <w:u w:val="single"/>
        </w:rPr>
        <w:t>6</w:t>
      </w:r>
      <w:r w:rsidRPr="00357348">
        <w:rPr>
          <w:rFonts w:asciiTheme="minorHAnsi" w:eastAsia="Times New Roman" w:hAnsiTheme="minorHAnsi" w:cstheme="minorHAnsi"/>
          <w:color w:val="538135" w:themeColor="accent6" w:themeShade="BF"/>
          <w:u w:val="single"/>
        </w:rPr>
        <w:t xml:space="preserve">: </w:t>
      </w:r>
    </w:p>
    <w:p w14:paraId="568A3F19" w14:textId="040AAD92" w:rsidR="00F83050" w:rsidRPr="00F83050" w:rsidRDefault="00F83050" w:rsidP="00F83050">
      <w:pPr>
        <w:pStyle w:val="xmsonormal"/>
        <w:shd w:val="clear" w:color="auto" w:fill="FFFFFF"/>
        <w:ind w:left="360"/>
        <w:rPr>
          <w:rFonts w:ascii="Aptos" w:eastAsia="Times New Roman" w:hAnsi="Aptos"/>
        </w:rPr>
      </w:pPr>
      <w:r>
        <w:rPr>
          <w:rFonts w:ascii="Aptos" w:eastAsia="Times New Roman" w:hAnsi="Aptos"/>
        </w:rPr>
        <w:t>Strengthen transfer support services and connections to ease the process for students transferring to universities and specialized programs, such as Dental Hygiene.</w:t>
      </w:r>
    </w:p>
    <w:p w14:paraId="2263C8EE" w14:textId="0EB2C14A" w:rsidR="00F83050" w:rsidRDefault="00F83050" w:rsidP="00F83050">
      <w:pPr>
        <w:pStyle w:val="xmsonormal"/>
        <w:shd w:val="clear" w:color="auto" w:fill="FFFFFF"/>
      </w:pPr>
    </w:p>
    <w:p w14:paraId="631B5487" w14:textId="77777777" w:rsidR="00357348" w:rsidRPr="00832D20" w:rsidRDefault="00357348" w:rsidP="006F3882">
      <w:pPr>
        <w:pStyle w:val="Heading2"/>
      </w:pPr>
      <w:bookmarkStart w:id="139" w:name="_Toc194322855"/>
      <w:bookmarkStart w:id="140" w:name="_Toc194931256"/>
      <w:bookmarkStart w:id="141" w:name="_Toc194931581"/>
      <w:r w:rsidRPr="00832D20">
        <w:t>Goal 3: Diversify Instructional Programs and Opportunities &amp; Enhance Community and Industry Partnerships to Support Workforce Development</w:t>
      </w:r>
      <w:bookmarkEnd w:id="139"/>
      <w:bookmarkEnd w:id="140"/>
      <w:bookmarkEnd w:id="141"/>
    </w:p>
    <w:p w14:paraId="2A86A6F8" w14:textId="77777777" w:rsidR="00357348" w:rsidRDefault="00357348" w:rsidP="00357348">
      <w:pPr>
        <w:pStyle w:val="xmsonormal"/>
        <w:shd w:val="clear" w:color="auto" w:fill="FFFFFF"/>
      </w:pPr>
      <w:r>
        <w:rPr>
          <w:rFonts w:ascii="Aptos" w:hAnsi="Aptos"/>
        </w:rPr>
        <w:t>Expanding instructional programs and industry partnerships will align education with workforce demands and provide students with career-ready skills.</w:t>
      </w:r>
    </w:p>
    <w:p w14:paraId="7EA4DB6F" w14:textId="77777777" w:rsidR="00357348" w:rsidRPr="00357348" w:rsidRDefault="00357348" w:rsidP="00832D20">
      <w:pPr>
        <w:pStyle w:val="xmsonormal"/>
        <w:shd w:val="clear" w:color="auto" w:fill="FFFFFF"/>
        <w:ind w:left="360" w:hanging="360"/>
        <w:rPr>
          <w:rFonts w:asciiTheme="minorHAnsi" w:eastAsia="Times New Roman" w:hAnsiTheme="minorHAnsi" w:cstheme="minorHAnsi"/>
          <w:color w:val="538135" w:themeColor="accent6" w:themeShade="BF"/>
          <w:u w:val="single"/>
        </w:rPr>
      </w:pPr>
      <w:r w:rsidRPr="00357348">
        <w:rPr>
          <w:rFonts w:asciiTheme="minorHAnsi" w:eastAsia="Times New Roman" w:hAnsiTheme="minorHAnsi" w:cstheme="minorHAnsi"/>
          <w:color w:val="538135" w:themeColor="accent6" w:themeShade="BF"/>
          <w:u w:val="single"/>
        </w:rPr>
        <w:t xml:space="preserve">Objective 3.1: </w:t>
      </w:r>
    </w:p>
    <w:p w14:paraId="213CDCB4" w14:textId="672C82F0" w:rsidR="00832D20" w:rsidRDefault="00357348" w:rsidP="00357348">
      <w:pPr>
        <w:pStyle w:val="xmsonormal"/>
        <w:shd w:val="clear" w:color="auto" w:fill="FFFFFF"/>
        <w:ind w:left="360"/>
        <w:rPr>
          <w:rFonts w:eastAsia="Times New Roman"/>
        </w:rPr>
      </w:pPr>
      <w:r>
        <w:rPr>
          <w:rFonts w:ascii="Aptos" w:eastAsia="Times New Roman" w:hAnsi="Aptos"/>
        </w:rPr>
        <w:t xml:space="preserve">Increase </w:t>
      </w:r>
      <w:r w:rsidRPr="00832D20">
        <w:rPr>
          <w:rFonts w:ascii="Aptos" w:eastAsia="Times New Roman" w:hAnsi="Aptos"/>
        </w:rPr>
        <w:t>non-credit, CPL (Credit for Prior Learning), CTE (Career &amp; Technical Education), and Dual Enrollment</w:t>
      </w:r>
      <w:r>
        <w:rPr>
          <w:rFonts w:ascii="Aptos" w:eastAsia="Times New Roman" w:hAnsi="Aptos"/>
        </w:rPr>
        <w:t xml:space="preserve"> offerings, to deliver flexible learning options and career pathways for a diverse student body.</w:t>
      </w:r>
    </w:p>
    <w:p w14:paraId="132F09BD" w14:textId="77777777" w:rsidR="00357348" w:rsidRPr="00832D20" w:rsidRDefault="00357348" w:rsidP="00832D20">
      <w:pPr>
        <w:pStyle w:val="xmsonormal"/>
        <w:shd w:val="clear" w:color="auto" w:fill="FFFFFF"/>
        <w:ind w:left="360" w:hanging="45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3.2: </w:t>
      </w:r>
    </w:p>
    <w:p w14:paraId="3A61AB33" w14:textId="31A82B79" w:rsidR="00832D20" w:rsidRDefault="00357348" w:rsidP="00357348">
      <w:pPr>
        <w:pStyle w:val="xmsonormal"/>
        <w:shd w:val="clear" w:color="auto" w:fill="FFFFFF"/>
        <w:ind w:left="360"/>
        <w:rPr>
          <w:rFonts w:eastAsia="Times New Roman"/>
        </w:rPr>
      </w:pPr>
      <w:r>
        <w:rPr>
          <w:rFonts w:ascii="Aptos" w:eastAsia="Times New Roman" w:hAnsi="Aptos"/>
        </w:rPr>
        <w:t xml:space="preserve">Expand and diversifying </w:t>
      </w:r>
      <w:r w:rsidRPr="00832D20">
        <w:rPr>
          <w:rFonts w:ascii="Aptos" w:eastAsia="Times New Roman" w:hAnsi="Aptos"/>
        </w:rPr>
        <w:t xml:space="preserve">programs that align with labor market needs, </w:t>
      </w:r>
      <w:r>
        <w:rPr>
          <w:rFonts w:ascii="Aptos" w:eastAsia="Times New Roman" w:hAnsi="Aptos"/>
        </w:rPr>
        <w:t>to ensure students acquire relevant, in-demand skills.</w:t>
      </w:r>
    </w:p>
    <w:p w14:paraId="3BC2694B" w14:textId="77777777" w:rsidR="00357348" w:rsidRPr="00832D20" w:rsidRDefault="00357348" w:rsidP="00832D20">
      <w:pPr>
        <w:pStyle w:val="xmsonormal"/>
        <w:shd w:val="clear" w:color="auto" w:fill="FFFFFF"/>
        <w:ind w:left="360" w:hanging="36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Objective 3.4:</w:t>
      </w:r>
    </w:p>
    <w:p w14:paraId="1B183694" w14:textId="15632F14" w:rsidR="00357348" w:rsidRPr="00832D20" w:rsidRDefault="00357348" w:rsidP="00832D20">
      <w:pPr>
        <w:pStyle w:val="xmsonormal"/>
        <w:shd w:val="clear" w:color="auto" w:fill="FFFFFF"/>
        <w:ind w:left="360"/>
        <w:rPr>
          <w:rFonts w:eastAsia="Times New Roman"/>
        </w:rPr>
      </w:pPr>
      <w:r>
        <w:rPr>
          <w:rFonts w:ascii="Aptos" w:eastAsia="Times New Roman" w:hAnsi="Aptos"/>
        </w:rPr>
        <w:t xml:space="preserve"> Create </w:t>
      </w:r>
      <w:r w:rsidRPr="00832D20">
        <w:rPr>
          <w:rFonts w:ascii="Aptos" w:eastAsia="Times New Roman" w:hAnsi="Aptos"/>
        </w:rPr>
        <w:t xml:space="preserve">internship, externship, and apprenticeship </w:t>
      </w:r>
      <w:r>
        <w:rPr>
          <w:rFonts w:ascii="Aptos" w:eastAsia="Times New Roman" w:hAnsi="Aptos"/>
        </w:rPr>
        <w:t>opportunities, to enhance students’ real-world experience and job readiness.</w:t>
      </w:r>
    </w:p>
    <w:p w14:paraId="0AF298A5" w14:textId="77777777" w:rsidR="00357348" w:rsidRPr="00832D20" w:rsidRDefault="00357348" w:rsidP="006F3882">
      <w:pPr>
        <w:pStyle w:val="Heading2"/>
      </w:pPr>
      <w:bookmarkStart w:id="142" w:name="_Toc194322856"/>
      <w:bookmarkStart w:id="143" w:name="_Toc194931257"/>
      <w:bookmarkStart w:id="144" w:name="_Toc194931582"/>
      <w:r w:rsidRPr="00832D20">
        <w:t>Goal 4: Position Taft College for Long-Term Sustainability and Future Growth</w:t>
      </w:r>
      <w:bookmarkEnd w:id="142"/>
      <w:bookmarkEnd w:id="143"/>
      <w:bookmarkEnd w:id="144"/>
    </w:p>
    <w:p w14:paraId="17D6B35B" w14:textId="77777777" w:rsidR="00357348" w:rsidRDefault="00357348" w:rsidP="00357348">
      <w:pPr>
        <w:pStyle w:val="xmsonormal"/>
        <w:shd w:val="clear" w:color="auto" w:fill="FFFFFF"/>
      </w:pPr>
      <w:r>
        <w:rPr>
          <w:rFonts w:ascii="Aptos" w:hAnsi="Aptos"/>
        </w:rPr>
        <w:t>To ensure long-term success, Taft College must focus on financial stability, infrastructure planning, and technological advancement.</w:t>
      </w:r>
    </w:p>
    <w:p w14:paraId="4B221C85" w14:textId="77777777" w:rsidR="00832D20" w:rsidRDefault="00357348" w:rsidP="00832D20">
      <w:pPr>
        <w:pStyle w:val="xmsonormal"/>
        <w:shd w:val="clear" w:color="auto" w:fill="FFFFFF"/>
        <w:ind w:left="360" w:hanging="36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4.1: </w:t>
      </w:r>
    </w:p>
    <w:p w14:paraId="7FCAD7E0" w14:textId="1EA1A1C6" w:rsidR="00832D20" w:rsidRDefault="00357348" w:rsidP="00357348">
      <w:pPr>
        <w:pStyle w:val="xmsonormal"/>
        <w:shd w:val="clear" w:color="auto" w:fill="FFFFFF"/>
        <w:ind w:left="360"/>
        <w:rPr>
          <w:rFonts w:eastAsia="Times New Roman"/>
        </w:rPr>
      </w:pPr>
      <w:r>
        <w:rPr>
          <w:rFonts w:ascii="Aptos" w:eastAsia="Times New Roman" w:hAnsi="Aptos"/>
        </w:rPr>
        <w:t xml:space="preserve">Develop a </w:t>
      </w:r>
      <w:r w:rsidRPr="00832D20">
        <w:rPr>
          <w:rFonts w:ascii="Aptos" w:eastAsia="Times New Roman" w:hAnsi="Aptos"/>
        </w:rPr>
        <w:t xml:space="preserve">fiscally responsible budget </w:t>
      </w:r>
      <w:r>
        <w:rPr>
          <w:rFonts w:ascii="Aptos" w:eastAsia="Times New Roman" w:hAnsi="Aptos"/>
        </w:rPr>
        <w:t>each year, to ensure financial stability and strategic resource allocation.</w:t>
      </w:r>
    </w:p>
    <w:p w14:paraId="641C9455" w14:textId="77777777" w:rsidR="00832D20" w:rsidRPr="00832D20" w:rsidRDefault="00357348" w:rsidP="00832D20">
      <w:pPr>
        <w:pStyle w:val="xmsonormal"/>
        <w:shd w:val="clear" w:color="auto" w:fill="FFFFFF"/>
        <w:ind w:left="360" w:hanging="36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Objective 4.2:</w:t>
      </w:r>
    </w:p>
    <w:p w14:paraId="614A2146" w14:textId="39C7F97A" w:rsidR="00832D20" w:rsidRDefault="00357348" w:rsidP="00357348">
      <w:pPr>
        <w:pStyle w:val="xmsonormal"/>
        <w:shd w:val="clear" w:color="auto" w:fill="FFFFFF"/>
        <w:ind w:left="360"/>
        <w:rPr>
          <w:rFonts w:eastAsia="Times New Roman"/>
        </w:rPr>
      </w:pPr>
      <w:r>
        <w:rPr>
          <w:rFonts w:ascii="Aptos" w:eastAsia="Times New Roman" w:hAnsi="Aptos"/>
        </w:rPr>
        <w:t xml:space="preserve"> Optimize </w:t>
      </w:r>
      <w:r w:rsidRPr="00832D20">
        <w:rPr>
          <w:rFonts w:ascii="Aptos" w:eastAsia="Times New Roman" w:hAnsi="Aptos"/>
        </w:rPr>
        <w:t>grant opportunities, t</w:t>
      </w:r>
      <w:r>
        <w:rPr>
          <w:rFonts w:ascii="Aptos" w:eastAsia="Times New Roman" w:hAnsi="Aptos"/>
        </w:rPr>
        <w:t>o obtain additional funding for institutional priorities.</w:t>
      </w:r>
    </w:p>
    <w:p w14:paraId="788AEDF8" w14:textId="77777777" w:rsidR="00832D20" w:rsidRPr="00832D20" w:rsidRDefault="00357348" w:rsidP="00832D20">
      <w:pPr>
        <w:pStyle w:val="xmsonormal"/>
        <w:shd w:val="clear" w:color="auto" w:fill="FFFFFF"/>
        <w:ind w:left="360" w:hanging="36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4.3: </w:t>
      </w:r>
    </w:p>
    <w:p w14:paraId="3F3D5468" w14:textId="7C5C35DA" w:rsidR="00357348" w:rsidRDefault="00357348" w:rsidP="00357348">
      <w:pPr>
        <w:pStyle w:val="xmsonormal"/>
        <w:shd w:val="clear" w:color="auto" w:fill="FFFFFF"/>
        <w:ind w:left="360"/>
        <w:rPr>
          <w:rFonts w:eastAsia="Times New Roman"/>
        </w:rPr>
      </w:pPr>
      <w:r w:rsidRPr="00832D20">
        <w:rPr>
          <w:rFonts w:ascii="Aptos" w:eastAsia="Times New Roman" w:hAnsi="Aptos"/>
        </w:rPr>
        <w:t>Modernize the facilities plan, to su</w:t>
      </w:r>
      <w:r>
        <w:rPr>
          <w:rFonts w:ascii="Aptos" w:eastAsia="Times New Roman" w:hAnsi="Aptos"/>
        </w:rPr>
        <w:t>pport campus infrastructure in accommodating projected growth.</w:t>
      </w:r>
    </w:p>
    <w:p w14:paraId="755026BC" w14:textId="77777777" w:rsidR="00832D20" w:rsidRPr="00832D20" w:rsidRDefault="00357348" w:rsidP="00832D20">
      <w:pPr>
        <w:pStyle w:val="xmsonormal"/>
        <w:shd w:val="clear" w:color="auto" w:fill="FFFFFF"/>
        <w:ind w:left="360" w:hanging="27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4.4: </w:t>
      </w:r>
    </w:p>
    <w:p w14:paraId="2EDBE2B0" w14:textId="04D83404" w:rsidR="00357348" w:rsidRDefault="00357348" w:rsidP="00357348">
      <w:pPr>
        <w:pStyle w:val="xmsonormal"/>
        <w:shd w:val="clear" w:color="auto" w:fill="FFFFFF"/>
        <w:ind w:left="360"/>
        <w:rPr>
          <w:rFonts w:eastAsia="Times New Roman"/>
        </w:rPr>
      </w:pPr>
      <w:r>
        <w:rPr>
          <w:rFonts w:ascii="Aptos" w:eastAsia="Times New Roman" w:hAnsi="Aptos"/>
        </w:rPr>
        <w:t>Secure</w:t>
      </w:r>
      <w:r w:rsidRPr="00832D20">
        <w:rPr>
          <w:rFonts w:ascii="Aptos" w:eastAsia="Times New Roman" w:hAnsi="Aptos"/>
        </w:rPr>
        <w:t xml:space="preserve"> additional funding sources, t</w:t>
      </w:r>
      <w:r>
        <w:rPr>
          <w:rFonts w:ascii="Aptos" w:eastAsia="Times New Roman" w:hAnsi="Aptos"/>
        </w:rPr>
        <w:t>o facilitate the successful execution of the facilities plan as needed.</w:t>
      </w:r>
    </w:p>
    <w:p w14:paraId="38146CC3" w14:textId="77777777" w:rsidR="00832D20" w:rsidRPr="00832D20" w:rsidRDefault="00357348" w:rsidP="00832D20">
      <w:pPr>
        <w:pStyle w:val="xmsonormal"/>
        <w:shd w:val="clear" w:color="auto" w:fill="FFFFFF"/>
        <w:ind w:left="360" w:hanging="36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4.5: </w:t>
      </w:r>
    </w:p>
    <w:p w14:paraId="449449A9" w14:textId="1EEAFDB9" w:rsidR="00357348" w:rsidRDefault="00357348" w:rsidP="00357348">
      <w:pPr>
        <w:pStyle w:val="xmsonormal"/>
        <w:shd w:val="clear" w:color="auto" w:fill="FFFFFF"/>
        <w:ind w:left="360"/>
        <w:rPr>
          <w:rFonts w:eastAsia="Times New Roman"/>
        </w:rPr>
      </w:pPr>
      <w:r>
        <w:rPr>
          <w:rFonts w:ascii="Aptos" w:eastAsia="Times New Roman" w:hAnsi="Aptos"/>
        </w:rPr>
        <w:t xml:space="preserve">Implement </w:t>
      </w:r>
      <w:r w:rsidRPr="00832D20">
        <w:rPr>
          <w:rFonts w:ascii="Aptos" w:eastAsia="Times New Roman" w:hAnsi="Aptos"/>
        </w:rPr>
        <w:t>technological innovations,</w:t>
      </w:r>
      <w:r>
        <w:rPr>
          <w:rFonts w:ascii="Aptos" w:eastAsia="Times New Roman" w:hAnsi="Aptos"/>
        </w:rPr>
        <w:t xml:space="preserve"> to enhance student success, streamline operations, and improve cybersecurity.</w:t>
      </w:r>
    </w:p>
    <w:p w14:paraId="66566C99" w14:textId="77777777" w:rsidR="00832D20" w:rsidRPr="00832D20" w:rsidRDefault="00357348" w:rsidP="00832D20">
      <w:pPr>
        <w:pStyle w:val="xmsonormal"/>
        <w:shd w:val="clear" w:color="auto" w:fill="FFFFFF"/>
        <w:ind w:left="360" w:hanging="36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4.6: </w:t>
      </w:r>
    </w:p>
    <w:p w14:paraId="07DABC6D" w14:textId="029D446B" w:rsidR="00357348" w:rsidRDefault="00357348" w:rsidP="00357348">
      <w:pPr>
        <w:pStyle w:val="xmsonormal"/>
        <w:shd w:val="clear" w:color="auto" w:fill="FFFFFF"/>
        <w:ind w:left="360"/>
        <w:rPr>
          <w:rFonts w:eastAsia="Times New Roman"/>
        </w:rPr>
      </w:pPr>
      <w:r>
        <w:rPr>
          <w:rFonts w:ascii="Aptos" w:eastAsia="Times New Roman" w:hAnsi="Aptos"/>
        </w:rPr>
        <w:t xml:space="preserve">Maintain compliance with </w:t>
      </w:r>
      <w:r w:rsidRPr="00832D20">
        <w:rPr>
          <w:rFonts w:ascii="Aptos" w:eastAsia="Times New Roman" w:hAnsi="Aptos"/>
        </w:rPr>
        <w:t>accessibility and ADA standards,</w:t>
      </w:r>
      <w:r>
        <w:rPr>
          <w:rFonts w:ascii="Aptos" w:eastAsia="Times New Roman" w:hAnsi="Aptos"/>
        </w:rPr>
        <w:t xml:space="preserve"> to guarantee equitable access for all students.</w:t>
      </w:r>
    </w:p>
    <w:p w14:paraId="064AE03A" w14:textId="77777777" w:rsidR="00832D20" w:rsidRPr="00832D20" w:rsidRDefault="00357348" w:rsidP="00832D20">
      <w:pPr>
        <w:pStyle w:val="xmsonormal"/>
        <w:shd w:val="clear" w:color="auto" w:fill="FFFFFF"/>
        <w:ind w:left="360" w:hanging="36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4.7: </w:t>
      </w:r>
    </w:p>
    <w:p w14:paraId="6D7B67E1" w14:textId="1C911E7A" w:rsidR="00357348" w:rsidRDefault="00357348" w:rsidP="00357348">
      <w:pPr>
        <w:pStyle w:val="xmsonormal"/>
        <w:shd w:val="clear" w:color="auto" w:fill="FFFFFF"/>
        <w:ind w:left="360"/>
        <w:rPr>
          <w:rFonts w:eastAsia="Times New Roman"/>
        </w:rPr>
      </w:pPr>
      <w:r>
        <w:rPr>
          <w:rFonts w:ascii="Aptos" w:eastAsia="Times New Roman" w:hAnsi="Aptos"/>
        </w:rPr>
        <w:lastRenderedPageBreak/>
        <w:t xml:space="preserve">Expand </w:t>
      </w:r>
      <w:r w:rsidRPr="00832D20">
        <w:rPr>
          <w:rFonts w:ascii="Aptos" w:eastAsia="Times New Roman" w:hAnsi="Aptos"/>
        </w:rPr>
        <w:t xml:space="preserve">dual enrollment and non-credit programs, </w:t>
      </w:r>
      <w:r>
        <w:rPr>
          <w:rFonts w:ascii="Aptos" w:eastAsia="Times New Roman" w:hAnsi="Aptos"/>
        </w:rPr>
        <w:t>to contribute to FTES (Full-Time Equivalent Student) growth.</w:t>
      </w:r>
    </w:p>
    <w:p w14:paraId="76C0C257" w14:textId="77777777" w:rsidR="00832D20" w:rsidRPr="00832D20" w:rsidRDefault="00357348" w:rsidP="00832D20">
      <w:pPr>
        <w:pStyle w:val="xmsonormal"/>
        <w:shd w:val="clear" w:color="auto" w:fill="FFFFFF"/>
        <w:ind w:left="360" w:hanging="36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4.8: </w:t>
      </w:r>
    </w:p>
    <w:p w14:paraId="324D0B1D" w14:textId="0188C380" w:rsidR="00357348" w:rsidRDefault="00357348" w:rsidP="00357348">
      <w:pPr>
        <w:pStyle w:val="xmsonormal"/>
        <w:shd w:val="clear" w:color="auto" w:fill="FFFFFF"/>
        <w:ind w:left="360"/>
        <w:rPr>
          <w:rFonts w:eastAsia="Times New Roman"/>
        </w:rPr>
      </w:pPr>
      <w:r>
        <w:rPr>
          <w:rFonts w:ascii="Aptos" w:eastAsia="Times New Roman" w:hAnsi="Aptos"/>
        </w:rPr>
        <w:t>Conduct</w:t>
      </w:r>
      <w:r w:rsidRPr="00832D20">
        <w:rPr>
          <w:rFonts w:ascii="Aptos" w:eastAsia="Times New Roman" w:hAnsi="Aptos"/>
        </w:rPr>
        <w:t xml:space="preserve"> annual evaluations of strengths and weaknesses, t</w:t>
      </w:r>
      <w:r>
        <w:rPr>
          <w:rFonts w:ascii="Aptos" w:eastAsia="Times New Roman" w:hAnsi="Aptos"/>
        </w:rPr>
        <w:t>o mitigate external threats and identify growth opportunities.</w:t>
      </w:r>
    </w:p>
    <w:p w14:paraId="189E1B1D" w14:textId="77777777" w:rsidR="00832D20" w:rsidRPr="00832D20" w:rsidRDefault="00357348" w:rsidP="00832D20">
      <w:pPr>
        <w:pStyle w:val="xmsonormal"/>
        <w:shd w:val="clear" w:color="auto" w:fill="FFFFFF"/>
        <w:ind w:left="360" w:hanging="36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4.9: </w:t>
      </w:r>
    </w:p>
    <w:p w14:paraId="128B3FBD" w14:textId="6FD5CC28" w:rsidR="00357348" w:rsidRDefault="00357348" w:rsidP="006F3882">
      <w:pPr>
        <w:pStyle w:val="xmsonormal"/>
        <w:shd w:val="clear" w:color="auto" w:fill="FFFFFF"/>
        <w:ind w:left="360"/>
      </w:pPr>
      <w:r>
        <w:rPr>
          <w:rFonts w:ascii="Aptos" w:eastAsia="Times New Roman" w:hAnsi="Aptos"/>
        </w:rPr>
        <w:t xml:space="preserve">Develop a </w:t>
      </w:r>
      <w:r w:rsidRPr="00832D20">
        <w:rPr>
          <w:rFonts w:ascii="Aptos" w:eastAsia="Times New Roman" w:hAnsi="Aptos"/>
        </w:rPr>
        <w:t xml:space="preserve">leadership and management succession plan, </w:t>
      </w:r>
      <w:r>
        <w:rPr>
          <w:rFonts w:ascii="Aptos" w:eastAsia="Times New Roman" w:hAnsi="Aptos"/>
        </w:rPr>
        <w:t>to promote continuity and institutional stability.</w:t>
      </w:r>
    </w:p>
    <w:p w14:paraId="0318FBB9" w14:textId="77777777" w:rsidR="00357348" w:rsidRPr="00832D20" w:rsidRDefault="00357348" w:rsidP="006F3882">
      <w:pPr>
        <w:pStyle w:val="Heading2"/>
      </w:pPr>
      <w:bookmarkStart w:id="145" w:name="_Toc194322857"/>
      <w:bookmarkStart w:id="146" w:name="_Toc194931258"/>
      <w:bookmarkStart w:id="147" w:name="_Toc194931583"/>
      <w:r w:rsidRPr="00832D20">
        <w:t>Goal 5: Strengthen a Culture of Innovation, Equity, and Institutional Excellence</w:t>
      </w:r>
      <w:bookmarkEnd w:id="145"/>
      <w:bookmarkEnd w:id="146"/>
      <w:bookmarkEnd w:id="147"/>
    </w:p>
    <w:p w14:paraId="707D9550" w14:textId="77777777" w:rsidR="00357348" w:rsidRDefault="00357348" w:rsidP="00357348">
      <w:pPr>
        <w:pStyle w:val="xmsonormal"/>
        <w:shd w:val="clear" w:color="auto" w:fill="FFFFFF"/>
      </w:pPr>
      <w:r>
        <w:rPr>
          <w:rFonts w:ascii="Aptos" w:hAnsi="Aptos"/>
        </w:rPr>
        <w:t>Fostering an inclusive, innovative, and collaborative campus culture will enhance student and staff experiences while strengthening community connections.</w:t>
      </w:r>
    </w:p>
    <w:p w14:paraId="2B832EFA" w14:textId="77777777" w:rsidR="00832D20" w:rsidRPr="00832D20" w:rsidRDefault="00357348" w:rsidP="00832D20">
      <w:pPr>
        <w:pStyle w:val="xmsonormal"/>
        <w:shd w:val="clear" w:color="auto" w:fill="FFFFFF"/>
        <w:ind w:left="360" w:hanging="45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5.1: </w:t>
      </w:r>
    </w:p>
    <w:p w14:paraId="1CD6053E" w14:textId="0482DDCA" w:rsidR="00357348" w:rsidRDefault="00357348" w:rsidP="00832D20">
      <w:pPr>
        <w:pStyle w:val="xmsonormal"/>
        <w:shd w:val="clear" w:color="auto" w:fill="FFFFFF"/>
        <w:ind w:left="360"/>
        <w:rPr>
          <w:rFonts w:eastAsia="Times New Roman"/>
        </w:rPr>
      </w:pPr>
      <w:r>
        <w:rPr>
          <w:rFonts w:ascii="Aptos" w:eastAsia="Times New Roman" w:hAnsi="Aptos"/>
        </w:rPr>
        <w:t xml:space="preserve">Align </w:t>
      </w:r>
      <w:r w:rsidRPr="00832D20">
        <w:rPr>
          <w:rFonts w:ascii="Aptos" w:eastAsia="Times New Roman" w:hAnsi="Aptos"/>
        </w:rPr>
        <w:t>DEIAA (Diversity, Equity, Inclusion, Accessibility, and Anti-Racism) initiatives w</w:t>
      </w:r>
      <w:r>
        <w:rPr>
          <w:rFonts w:ascii="Aptos" w:eastAsia="Times New Roman" w:hAnsi="Aptos"/>
        </w:rPr>
        <w:t>ith student resource expansion, to ensure equitable access and support for special populations.</w:t>
      </w:r>
    </w:p>
    <w:p w14:paraId="49567229" w14:textId="77777777" w:rsidR="00832D20" w:rsidRPr="00832D20" w:rsidRDefault="00357348" w:rsidP="00832D20">
      <w:pPr>
        <w:pStyle w:val="xmsonormal"/>
        <w:shd w:val="clear" w:color="auto" w:fill="FFFFFF"/>
        <w:ind w:left="360" w:hanging="45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5.2: </w:t>
      </w:r>
    </w:p>
    <w:p w14:paraId="5993EA92" w14:textId="319AFCF5" w:rsidR="00357348" w:rsidRDefault="00357348" w:rsidP="00832D20">
      <w:pPr>
        <w:pStyle w:val="xmsonormal"/>
        <w:shd w:val="clear" w:color="auto" w:fill="FFFFFF"/>
        <w:ind w:left="360"/>
        <w:rPr>
          <w:rFonts w:eastAsia="Times New Roman"/>
        </w:rPr>
      </w:pPr>
      <w:r>
        <w:rPr>
          <w:rFonts w:ascii="Aptos" w:eastAsia="Times New Roman" w:hAnsi="Aptos"/>
        </w:rPr>
        <w:t xml:space="preserve">Expand </w:t>
      </w:r>
      <w:r w:rsidRPr="00832D20">
        <w:rPr>
          <w:rFonts w:ascii="Aptos" w:eastAsia="Times New Roman" w:hAnsi="Aptos"/>
        </w:rPr>
        <w:t xml:space="preserve">professional development </w:t>
      </w:r>
      <w:r>
        <w:rPr>
          <w:rFonts w:ascii="Aptos" w:eastAsia="Times New Roman" w:hAnsi="Aptos"/>
        </w:rPr>
        <w:t>opportunities for all employees and students, to build institutional capacity and expertise.</w:t>
      </w:r>
    </w:p>
    <w:p w14:paraId="39289652" w14:textId="77777777" w:rsidR="00832D20" w:rsidRPr="00832D20" w:rsidRDefault="00357348" w:rsidP="00832D20">
      <w:pPr>
        <w:pStyle w:val="xmsonormal"/>
        <w:shd w:val="clear" w:color="auto" w:fill="FFFFFF"/>
        <w:ind w:left="360" w:hanging="45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5.3: </w:t>
      </w:r>
    </w:p>
    <w:p w14:paraId="1A9AD515" w14:textId="146671CE" w:rsidR="00357348" w:rsidRDefault="00357348" w:rsidP="00832D20">
      <w:pPr>
        <w:pStyle w:val="xmsonormal"/>
        <w:shd w:val="clear" w:color="auto" w:fill="FFFFFF"/>
        <w:ind w:left="360"/>
        <w:rPr>
          <w:rFonts w:eastAsia="Times New Roman"/>
        </w:rPr>
      </w:pPr>
      <w:r>
        <w:rPr>
          <w:rFonts w:ascii="Aptos" w:eastAsia="Times New Roman" w:hAnsi="Aptos"/>
        </w:rPr>
        <w:t xml:space="preserve">Educate the </w:t>
      </w:r>
      <w:r w:rsidRPr="00832D20">
        <w:rPr>
          <w:rFonts w:ascii="Aptos" w:eastAsia="Times New Roman" w:hAnsi="Aptos"/>
        </w:rPr>
        <w:t>community about degree and non-traditional programs,</w:t>
      </w:r>
      <w:r>
        <w:rPr>
          <w:rFonts w:ascii="Aptos" w:eastAsia="Times New Roman" w:hAnsi="Aptos"/>
        </w:rPr>
        <w:t xml:space="preserve"> to promote lifelong learning and workforce readiness.</w:t>
      </w:r>
    </w:p>
    <w:p w14:paraId="70060FCE" w14:textId="77777777" w:rsidR="00832D20" w:rsidRPr="00832D20" w:rsidRDefault="00357348" w:rsidP="00832D20">
      <w:pPr>
        <w:pStyle w:val="xmsonormal"/>
        <w:shd w:val="clear" w:color="auto" w:fill="FFFFFF"/>
        <w:ind w:left="360" w:hanging="45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5.4: </w:t>
      </w:r>
    </w:p>
    <w:p w14:paraId="40ED4BA3" w14:textId="651BA140" w:rsidR="00357348" w:rsidRDefault="00357348" w:rsidP="00832D20">
      <w:pPr>
        <w:pStyle w:val="xmsonormal"/>
        <w:shd w:val="clear" w:color="auto" w:fill="FFFFFF"/>
        <w:ind w:left="360"/>
        <w:rPr>
          <w:rFonts w:eastAsia="Times New Roman"/>
        </w:rPr>
      </w:pPr>
      <w:r>
        <w:rPr>
          <w:rFonts w:ascii="Aptos" w:eastAsia="Times New Roman" w:hAnsi="Aptos"/>
        </w:rPr>
        <w:t xml:space="preserve">Increase </w:t>
      </w:r>
      <w:r w:rsidRPr="00832D20">
        <w:rPr>
          <w:rFonts w:ascii="Aptos" w:eastAsia="Times New Roman" w:hAnsi="Aptos"/>
        </w:rPr>
        <w:t>on-campus activities and events,</w:t>
      </w:r>
      <w:r>
        <w:rPr>
          <w:rFonts w:ascii="Aptos" w:eastAsia="Times New Roman" w:hAnsi="Aptos"/>
        </w:rPr>
        <w:t xml:space="preserve"> to foster engagement and strengthen campus life.</w:t>
      </w:r>
    </w:p>
    <w:p w14:paraId="19329ABC" w14:textId="77777777" w:rsidR="00832D20" w:rsidRPr="00832D20" w:rsidRDefault="00357348" w:rsidP="00832D20">
      <w:pPr>
        <w:pStyle w:val="xmsonormal"/>
        <w:shd w:val="clear" w:color="auto" w:fill="FFFFFF"/>
        <w:ind w:left="360" w:hanging="45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5.5: </w:t>
      </w:r>
    </w:p>
    <w:p w14:paraId="6A7B9137" w14:textId="33993FD5" w:rsidR="00357348" w:rsidRDefault="00357348" w:rsidP="00832D20">
      <w:pPr>
        <w:pStyle w:val="xmsonormal"/>
        <w:shd w:val="clear" w:color="auto" w:fill="FFFFFF"/>
        <w:ind w:left="360"/>
        <w:rPr>
          <w:rFonts w:eastAsia="Times New Roman"/>
        </w:rPr>
      </w:pPr>
      <w:r>
        <w:rPr>
          <w:rFonts w:ascii="Aptos" w:eastAsia="Times New Roman" w:hAnsi="Aptos"/>
        </w:rPr>
        <w:t>Strengthen</w:t>
      </w:r>
      <w:r w:rsidRPr="00832D20">
        <w:rPr>
          <w:rFonts w:ascii="Aptos" w:eastAsia="Times New Roman" w:hAnsi="Aptos"/>
        </w:rPr>
        <w:t xml:space="preserve"> internal and external partnerships, </w:t>
      </w:r>
      <w:r>
        <w:rPr>
          <w:rFonts w:ascii="Aptos" w:eastAsia="Times New Roman" w:hAnsi="Aptos"/>
        </w:rPr>
        <w:t>to enhance collaboration, student support, and institutional growth.</w:t>
      </w:r>
    </w:p>
    <w:p w14:paraId="3847E064" w14:textId="6CC1D200" w:rsidR="008569AB" w:rsidRDefault="00C15415" w:rsidP="00770D94">
      <w:pPr>
        <w:pStyle w:val="Heading1"/>
      </w:pPr>
      <w:bookmarkStart w:id="148" w:name="_Toc194931259"/>
      <w:bookmarkStart w:id="149" w:name="_Toc194931584"/>
      <w:bookmarkEnd w:id="131"/>
      <w:bookmarkEnd w:id="132"/>
      <w:r>
        <w:t>Next Steps and Recommendations</w:t>
      </w:r>
      <w:bookmarkEnd w:id="148"/>
      <w:bookmarkEnd w:id="149"/>
      <w:r w:rsidR="00D3102E">
        <w:t xml:space="preserve"> </w:t>
      </w:r>
    </w:p>
    <w:p w14:paraId="38781CC4" w14:textId="13B5F1A0" w:rsidR="008569AB" w:rsidRDefault="008569AB" w:rsidP="008569AB">
      <w:r>
        <w:t xml:space="preserve">The next steps described below are recommended after final review and approval by the College and </w:t>
      </w:r>
      <w:r w:rsidR="003A2C18">
        <w:t>District</w:t>
      </w:r>
      <w:r>
        <w:t xml:space="preserve"> Board of Trustees.</w:t>
      </w:r>
    </w:p>
    <w:p w14:paraId="6042BE63" w14:textId="465055D5" w:rsidR="0008386A" w:rsidRDefault="0008386A" w:rsidP="0008386A">
      <w:pPr>
        <w:pStyle w:val="Heading2"/>
      </w:pPr>
      <w:bookmarkStart w:id="150" w:name="_Toc194931260"/>
      <w:bookmarkStart w:id="151" w:name="_Toc194931585"/>
      <w:r>
        <w:t xml:space="preserve">Educational </w:t>
      </w:r>
      <w:r w:rsidR="007B3F66">
        <w:t xml:space="preserve">Master </w:t>
      </w:r>
      <w:r>
        <w:t>Plan Roll-Out Process</w:t>
      </w:r>
      <w:bookmarkEnd w:id="150"/>
      <w:bookmarkEnd w:id="151"/>
    </w:p>
    <w:p w14:paraId="127CFEAC" w14:textId="264D2522" w:rsidR="0008386A" w:rsidRDefault="0008386A" w:rsidP="00C172CE">
      <w:pPr>
        <w:spacing w:after="0"/>
      </w:pPr>
      <w:r>
        <w:t xml:space="preserve">Production of the final Educational </w:t>
      </w:r>
      <w:r w:rsidR="007B3F66">
        <w:t xml:space="preserve">Master </w:t>
      </w:r>
      <w:r>
        <w:t xml:space="preserve">Plan will include electronic and hard-copy documents. Condensed versions may also be developed for offices across campus and used in meetings with the College’s educational, business, industry, and community partners. An intentional internal roll-out process for Fall 2025 with all internal constituents is critical to increase awareness and provide a unified direction for all departments at Taft College as they engage in program review and their annual planning processes. </w:t>
      </w:r>
    </w:p>
    <w:p w14:paraId="676EF51F" w14:textId="6C1C6D50" w:rsidR="0008386A" w:rsidRDefault="0008386A" w:rsidP="00340976">
      <w:pPr>
        <w:pStyle w:val="Heading2"/>
      </w:pPr>
      <w:bookmarkStart w:id="152" w:name="_Toc194931261"/>
      <w:bookmarkStart w:id="153" w:name="_Toc194931586"/>
      <w:r>
        <w:t xml:space="preserve">Plan </w:t>
      </w:r>
      <w:r w:rsidR="006359A6">
        <w:t>Implementation</w:t>
      </w:r>
      <w:bookmarkEnd w:id="152"/>
      <w:bookmarkEnd w:id="153"/>
      <w:r>
        <w:t xml:space="preserve">  </w:t>
      </w:r>
    </w:p>
    <w:p w14:paraId="26BE8832" w14:textId="032A7C69" w:rsidR="0008386A" w:rsidRDefault="0008386A" w:rsidP="0008386A">
      <w:pPr>
        <w:spacing w:after="0"/>
      </w:pPr>
      <w:r>
        <w:t xml:space="preserve">The success of any Educational </w:t>
      </w:r>
      <w:r w:rsidR="007B3F66">
        <w:t xml:space="preserve">Master </w:t>
      </w:r>
      <w:r>
        <w:t xml:space="preserve">Plan is dependent upon it being effectively operationalized. As each academic year begins, the College’s implementation plan will translate the Objectives of the </w:t>
      </w:r>
      <w:r w:rsidRPr="00357B65">
        <w:rPr>
          <w:i/>
          <w:iCs/>
        </w:rPr>
        <w:t>Taft College Educational Master Plan 2025-2035</w:t>
      </w:r>
      <w:r w:rsidR="00011BC3">
        <w:rPr>
          <w:i/>
          <w:iCs/>
        </w:rPr>
        <w:t xml:space="preserve"> </w:t>
      </w:r>
      <w:r w:rsidR="00011BC3">
        <w:t>into actionable steps aligned with its goals</w:t>
      </w:r>
      <w:r>
        <w:t>. These implementation/action plans will include the tasks, timelines, measurable outcomes, responsible individuals and groups, and resources needed to enact that year’s priorities in the plan. The detailed action plans will provide individuals with a step</w:t>
      </w:r>
      <w:r w:rsidR="00B2549F">
        <w:noBreakHyphen/>
      </w:r>
      <w:r>
        <w:t>by</w:t>
      </w:r>
      <w:r w:rsidR="00B2549F">
        <w:noBreakHyphen/>
      </w:r>
      <w:r>
        <w:t>step approach to advancing the College’s agenda, and they are also valuable for other annual planning processes, such as curriculum and instructional design, budget development, staffing needs, facilities, and technology planning.</w:t>
      </w:r>
    </w:p>
    <w:p w14:paraId="767BA926" w14:textId="77777777" w:rsidR="0008386A" w:rsidRDefault="0008386A" w:rsidP="0008386A">
      <w:pPr>
        <w:spacing w:after="0"/>
      </w:pPr>
    </w:p>
    <w:p w14:paraId="6C467E7A" w14:textId="46033B46" w:rsidR="0008386A" w:rsidRDefault="0008386A" w:rsidP="00C172CE">
      <w:pPr>
        <w:spacing w:after="0"/>
      </w:pPr>
      <w:r>
        <w:lastRenderedPageBreak/>
        <w:t>As part of the implementation process, an examination of planning timelines and their alignment for today’s rapidly changing world, as well as resource alignment (staffing, facilities, technology, etc.)</w:t>
      </w:r>
      <w:r w:rsidR="00BC1CA3">
        <w:t>,</w:t>
      </w:r>
      <w:r>
        <w:t xml:space="preserve"> is warranted for planning to be dynamic, relevant, and impactful. These areas are discussed in the next section. </w:t>
      </w:r>
    </w:p>
    <w:p w14:paraId="3C7DA861" w14:textId="478B2718" w:rsidR="00B1763C" w:rsidRPr="006C0B72" w:rsidRDefault="006C0B72" w:rsidP="0008386A">
      <w:pPr>
        <w:pStyle w:val="Heading2"/>
      </w:pPr>
      <w:bookmarkStart w:id="154" w:name="_Toc194931262"/>
      <w:bookmarkStart w:id="155" w:name="_Toc194931587"/>
      <w:bookmarkStart w:id="156" w:name="_Hlk192710944"/>
      <w:r>
        <w:t xml:space="preserve">Plan </w:t>
      </w:r>
      <w:r w:rsidR="00357B65">
        <w:t>Design, Timelines, and A</w:t>
      </w:r>
      <w:r>
        <w:t xml:space="preserve">lignment </w:t>
      </w:r>
      <w:r w:rsidR="00011BC3">
        <w:t>Recommendations</w:t>
      </w:r>
      <w:bookmarkEnd w:id="154"/>
      <w:bookmarkEnd w:id="155"/>
    </w:p>
    <w:p w14:paraId="631C7C9F" w14:textId="607CDEC9" w:rsidR="00B2549F" w:rsidRDefault="00AD17FA" w:rsidP="00B2549F">
      <w:pPr>
        <w:rPr>
          <w:color w:val="000000" w:themeColor="text1"/>
        </w:rPr>
      </w:pPr>
      <w:r w:rsidRPr="00AD17FA">
        <w:rPr>
          <w:color w:val="000000" w:themeColor="text1"/>
        </w:rPr>
        <w:t>Following adoption of the new ten-year EMP and development of the Implementation Plan</w:t>
      </w:r>
      <w:r w:rsidR="00B2549F">
        <w:rPr>
          <w:color w:val="000000" w:themeColor="text1"/>
        </w:rPr>
        <w:t>:</w:t>
      </w:r>
    </w:p>
    <w:p w14:paraId="258ED6F1" w14:textId="0BB12E04" w:rsidR="0009010A" w:rsidRPr="00B2549F" w:rsidRDefault="00AD17FA" w:rsidP="00B2549F">
      <w:pPr>
        <w:pStyle w:val="ListParagraph"/>
        <w:numPr>
          <w:ilvl w:val="0"/>
          <w:numId w:val="54"/>
        </w:numPr>
        <w:rPr>
          <w:color w:val="000000" w:themeColor="text1"/>
        </w:rPr>
      </w:pPr>
      <w:r w:rsidRPr="00B2549F">
        <w:rPr>
          <w:color w:val="000000" w:themeColor="text1"/>
        </w:rPr>
        <w:t>R</w:t>
      </w:r>
      <w:r w:rsidR="003A2C18" w:rsidRPr="00B2549F">
        <w:rPr>
          <w:color w:val="000000" w:themeColor="text1"/>
        </w:rPr>
        <w:t>ealign other plan timelines with the EMP</w:t>
      </w:r>
      <w:r w:rsidR="00B2549F">
        <w:rPr>
          <w:color w:val="000000" w:themeColor="text1"/>
        </w:rPr>
        <w:t>.</w:t>
      </w:r>
      <w:r w:rsidR="0009010A" w:rsidRPr="00B2549F">
        <w:rPr>
          <w:color w:val="000000" w:themeColor="text1"/>
        </w:rPr>
        <w:t xml:space="preserve"> </w:t>
      </w:r>
    </w:p>
    <w:p w14:paraId="20D629E4" w14:textId="50826BA0" w:rsidR="0009010A" w:rsidRPr="00AD17FA" w:rsidRDefault="00B2549F" w:rsidP="005761F9">
      <w:pPr>
        <w:pStyle w:val="ListParagraph"/>
        <w:numPr>
          <w:ilvl w:val="0"/>
          <w:numId w:val="28"/>
        </w:numPr>
        <w:rPr>
          <w:color w:val="000000" w:themeColor="text1"/>
        </w:rPr>
      </w:pPr>
      <w:r>
        <w:rPr>
          <w:color w:val="000000" w:themeColor="text1"/>
        </w:rPr>
        <w:t xml:space="preserve">Increase use of SAP indicators and program review </w:t>
      </w:r>
      <w:r w:rsidR="003A2C18" w:rsidRPr="00AD17FA">
        <w:rPr>
          <w:color w:val="000000" w:themeColor="text1"/>
        </w:rPr>
        <w:t>dashboards to measure progress and redirect annual plans</w:t>
      </w:r>
      <w:r w:rsidR="0009010A" w:rsidRPr="00AD17FA">
        <w:rPr>
          <w:color w:val="000000" w:themeColor="text1"/>
        </w:rPr>
        <w:t>.</w:t>
      </w:r>
      <w:r w:rsidR="003A2C18" w:rsidRPr="00AD17FA">
        <w:rPr>
          <w:color w:val="000000" w:themeColor="text1"/>
        </w:rPr>
        <w:t xml:space="preserve"> </w:t>
      </w:r>
    </w:p>
    <w:p w14:paraId="23E043F4" w14:textId="28D4BC1B" w:rsidR="00357B65" w:rsidRPr="00AD17FA" w:rsidRDefault="00B2549F" w:rsidP="005761F9">
      <w:pPr>
        <w:pStyle w:val="ListParagraph"/>
        <w:numPr>
          <w:ilvl w:val="0"/>
          <w:numId w:val="28"/>
        </w:numPr>
        <w:rPr>
          <w:color w:val="000000" w:themeColor="text1"/>
        </w:rPr>
      </w:pPr>
      <w:r>
        <w:rPr>
          <w:color w:val="000000" w:themeColor="text1"/>
        </w:rPr>
        <w:t>Continue using</w:t>
      </w:r>
      <w:r w:rsidR="00BC1CA3">
        <w:rPr>
          <w:color w:val="000000" w:themeColor="text1"/>
        </w:rPr>
        <w:t xml:space="preserve"> </w:t>
      </w:r>
      <w:r w:rsidR="00357B65" w:rsidRPr="00AD17FA">
        <w:rPr>
          <w:color w:val="000000" w:themeColor="text1"/>
        </w:rPr>
        <w:t xml:space="preserve">internal and external data for a </w:t>
      </w:r>
      <w:r w:rsidR="0009010A" w:rsidRPr="00AD17FA">
        <w:rPr>
          <w:color w:val="000000" w:themeColor="text1"/>
        </w:rPr>
        <w:t xml:space="preserve">stronger decision-making </w:t>
      </w:r>
      <w:r w:rsidR="00357B65" w:rsidRPr="00AD17FA">
        <w:rPr>
          <w:color w:val="000000" w:themeColor="text1"/>
        </w:rPr>
        <w:t xml:space="preserve">process </w:t>
      </w:r>
      <w:r w:rsidR="0009010A" w:rsidRPr="00AD17FA">
        <w:rPr>
          <w:color w:val="000000" w:themeColor="text1"/>
        </w:rPr>
        <w:t>regarding program expansion</w:t>
      </w:r>
      <w:r w:rsidR="00234CA2">
        <w:rPr>
          <w:color w:val="000000" w:themeColor="text1"/>
        </w:rPr>
        <w:t xml:space="preserve">, </w:t>
      </w:r>
      <w:r w:rsidR="0009010A" w:rsidRPr="00AD17FA">
        <w:rPr>
          <w:color w:val="000000" w:themeColor="text1"/>
        </w:rPr>
        <w:t>contraction, consolidation, elimination, a</w:t>
      </w:r>
      <w:r w:rsidR="00357B65" w:rsidRPr="00AD17FA">
        <w:rPr>
          <w:color w:val="000000" w:themeColor="text1"/>
        </w:rPr>
        <w:t>n</w:t>
      </w:r>
      <w:r w:rsidR="0009010A" w:rsidRPr="00AD17FA">
        <w:rPr>
          <w:color w:val="000000" w:themeColor="text1"/>
        </w:rPr>
        <w:t>d new program development within Pathway meta</w:t>
      </w:r>
      <w:r w:rsidR="008567F7" w:rsidRPr="00AD17FA">
        <w:rPr>
          <w:color w:val="000000" w:themeColor="text1"/>
        </w:rPr>
        <w:t xml:space="preserve"> majors and with community, educational,</w:t>
      </w:r>
      <w:r w:rsidR="00357B65" w:rsidRPr="00AD17FA">
        <w:rPr>
          <w:color w:val="000000" w:themeColor="text1"/>
        </w:rPr>
        <w:t xml:space="preserve"> and workforce partners.</w:t>
      </w:r>
    </w:p>
    <w:p w14:paraId="14907F93" w14:textId="3354A590" w:rsidR="006C0B72" w:rsidRPr="00AD17FA" w:rsidRDefault="00357B65" w:rsidP="005761F9">
      <w:pPr>
        <w:pStyle w:val="ListParagraph"/>
        <w:numPr>
          <w:ilvl w:val="0"/>
          <w:numId w:val="28"/>
        </w:numPr>
        <w:spacing w:after="0"/>
        <w:rPr>
          <w:color w:val="000000" w:themeColor="text1"/>
        </w:rPr>
      </w:pPr>
      <w:r w:rsidRPr="00AD17FA">
        <w:rPr>
          <w:color w:val="000000" w:themeColor="text1"/>
        </w:rPr>
        <w:t>R</w:t>
      </w:r>
      <w:r w:rsidR="003A2C18" w:rsidRPr="00AD17FA">
        <w:rPr>
          <w:color w:val="000000" w:themeColor="text1"/>
        </w:rPr>
        <w:t xml:space="preserve">ealign resources </w:t>
      </w:r>
      <w:r w:rsidRPr="00AD17FA">
        <w:rPr>
          <w:color w:val="000000" w:themeColor="text1"/>
        </w:rPr>
        <w:t>(staffing, facilit</w:t>
      </w:r>
      <w:r w:rsidR="00020021">
        <w:rPr>
          <w:color w:val="000000" w:themeColor="text1"/>
        </w:rPr>
        <w:t>ies,</w:t>
      </w:r>
      <w:r w:rsidRPr="00AD17FA">
        <w:rPr>
          <w:color w:val="000000" w:themeColor="text1"/>
        </w:rPr>
        <w:t xml:space="preserve"> and technology) </w:t>
      </w:r>
      <w:r w:rsidR="003A2C18" w:rsidRPr="00AD17FA">
        <w:rPr>
          <w:color w:val="000000" w:themeColor="text1"/>
        </w:rPr>
        <w:t>with planning as needed.</w:t>
      </w:r>
    </w:p>
    <w:p w14:paraId="1EEA1BFA" w14:textId="77777777" w:rsidR="00FA4573" w:rsidRDefault="00FA4573" w:rsidP="00120B3A">
      <w:pPr>
        <w:pStyle w:val="Heading2"/>
      </w:pPr>
      <w:bookmarkStart w:id="157" w:name="_Toc194931263"/>
      <w:bookmarkStart w:id="158" w:name="_Toc194931588"/>
      <w:r>
        <w:t>Accountability and Monitoring Process</w:t>
      </w:r>
      <w:bookmarkEnd w:id="157"/>
      <w:bookmarkEnd w:id="158"/>
    </w:p>
    <w:p w14:paraId="7C1D406A" w14:textId="6CF5FC52" w:rsidR="00A11598" w:rsidRDefault="00A11598" w:rsidP="00FA4573">
      <w:r w:rsidRPr="00A11598">
        <w:t xml:space="preserve">Accountability plays a crucial role in the successful execution of the Educational Master Plan (EMP). </w:t>
      </w:r>
      <w:r>
        <w:t>Annual</w:t>
      </w:r>
      <w:r w:rsidRPr="00A11598">
        <w:t xml:space="preserve"> reporting of EMP goal achievement status to primary stakeholders ensures transparency and fosters trust in the process. This accountability is primarily maintained through </w:t>
      </w:r>
      <w:r>
        <w:t>S</w:t>
      </w:r>
      <w:r w:rsidRPr="00A11598">
        <w:t xml:space="preserve">trategic </w:t>
      </w:r>
      <w:r>
        <w:t>A</w:t>
      </w:r>
      <w:r w:rsidRPr="00A11598">
        <w:t>ction</w:t>
      </w:r>
      <w:r>
        <w:t xml:space="preserve"> Plan</w:t>
      </w:r>
      <w:r w:rsidRPr="00A11598">
        <w:t xml:space="preserve"> that align with the </w:t>
      </w:r>
      <w:r>
        <w:t>EMP</w:t>
      </w:r>
      <w:r w:rsidRPr="00A11598">
        <w:t xml:space="preserve">’s </w:t>
      </w:r>
      <w:r>
        <w:t xml:space="preserve">goals and </w:t>
      </w:r>
      <w:r w:rsidRPr="00A11598">
        <w:t xml:space="preserve">objectives. By continuously engaging stakeholders and providing clear progress updates, the plan holds all parties involved responsible for meeting set goals. </w:t>
      </w:r>
      <w:r w:rsidR="00CC50AA">
        <w:t>Program review</w:t>
      </w:r>
      <w:r w:rsidRPr="00A11598">
        <w:t xml:space="preserve"> also serves as a tool for evaluating performance, identifying areas that require adjustment, and ensuring that resources are being used effectively to reach desired outcomes. </w:t>
      </w:r>
    </w:p>
    <w:p w14:paraId="163FFB52" w14:textId="1FC6FABD" w:rsidR="00FA4573" w:rsidRDefault="00990158" w:rsidP="00FA4573">
      <w:r>
        <w:t>In addition, a</w:t>
      </w:r>
      <w:r w:rsidR="00FA4573">
        <w:t>n ongoing monitoring process, on a regular cycle, is critical to assess and ensure progress on the Goals and Objectives of the E</w:t>
      </w:r>
      <w:r w:rsidR="0008386A">
        <w:t>M</w:t>
      </w:r>
      <w:r w:rsidR="00FA4573">
        <w:t xml:space="preserve">P. An ongoing, annual monitoring process will provide opportunities to redirect work as needed, provide additional attention and support to achieve desired outcomes, set targets, and provide focus for grant opportunities. </w:t>
      </w:r>
    </w:p>
    <w:p w14:paraId="6AFCD73C" w14:textId="77777777" w:rsidR="00E419A7" w:rsidRDefault="00E419A7">
      <w:pPr>
        <w:spacing w:after="0"/>
        <w:rPr>
          <w:rFonts w:asciiTheme="majorHAnsi" w:eastAsiaTheme="majorEastAsia" w:hAnsiTheme="majorHAnsi" w:cstheme="majorBidi"/>
          <w:b/>
          <w:bCs/>
          <w:color w:val="1F3864" w:themeColor="accent1" w:themeShade="80"/>
          <w:sz w:val="32"/>
          <w:szCs w:val="32"/>
        </w:rPr>
      </w:pPr>
      <w:r>
        <w:br w:type="page"/>
      </w:r>
    </w:p>
    <w:p w14:paraId="47715A44" w14:textId="77777777" w:rsidR="00527759" w:rsidRPr="00C53FE2" w:rsidRDefault="00527759" w:rsidP="00527759">
      <w:pPr>
        <w:pStyle w:val="Heading1"/>
        <w:rPr>
          <w:rFonts w:eastAsia="DengXian Light"/>
        </w:rPr>
      </w:pPr>
      <w:bookmarkStart w:id="159" w:name="_Hlk178428306"/>
      <w:bookmarkStart w:id="160" w:name="_Toc168762726"/>
      <w:bookmarkStart w:id="161" w:name="_Toc194931264"/>
      <w:bookmarkStart w:id="162" w:name="_Toc194931589"/>
      <w:bookmarkStart w:id="163" w:name="_Toc107843557"/>
      <w:bookmarkStart w:id="164" w:name="_Toc107843973"/>
      <w:bookmarkEnd w:id="156"/>
      <w:bookmarkEnd w:id="159"/>
      <w:r w:rsidRPr="00C53FE2">
        <w:rPr>
          <w:rFonts w:eastAsia="DengXian Light"/>
        </w:rPr>
        <w:lastRenderedPageBreak/>
        <w:t>Appendix A: External Scan</w:t>
      </w:r>
      <w:bookmarkEnd w:id="160"/>
      <w:bookmarkEnd w:id="161"/>
      <w:bookmarkEnd w:id="162"/>
      <w:r w:rsidRPr="00C53FE2">
        <w:rPr>
          <w:rFonts w:eastAsia="DengXian Light"/>
        </w:rPr>
        <w:t xml:space="preserve"> </w:t>
      </w:r>
    </w:p>
    <w:p w14:paraId="62A0C635" w14:textId="77777777" w:rsidR="00527759" w:rsidRPr="00C53FE2" w:rsidRDefault="00527759" w:rsidP="00527759">
      <w:pPr>
        <w:pStyle w:val="Heading2"/>
      </w:pPr>
      <w:bookmarkStart w:id="165" w:name="_Toc168762727"/>
      <w:bookmarkStart w:id="166" w:name="_Toc194931265"/>
      <w:bookmarkStart w:id="167" w:name="_Toc194931590"/>
      <w:r w:rsidRPr="00C53FE2">
        <w:t>West Kern Community College District Service Area</w:t>
      </w:r>
      <w:bookmarkEnd w:id="165"/>
      <w:bookmarkEnd w:id="166"/>
      <w:bookmarkEnd w:id="167"/>
    </w:p>
    <w:p w14:paraId="4CE0C17C" w14:textId="77777777" w:rsidR="00527759" w:rsidRPr="00C53FE2" w:rsidRDefault="00527759" w:rsidP="00091694">
      <w:bookmarkStart w:id="168" w:name="_Toc168762728"/>
      <w:bookmarkStart w:id="169" w:name="_Toc194324228"/>
      <w:r w:rsidRPr="00C53FE2">
        <w:t>District Map</w:t>
      </w:r>
      <w:bookmarkEnd w:id="168"/>
      <w:bookmarkEnd w:id="169"/>
      <w:r w:rsidRPr="00C53FE2">
        <w:t> </w:t>
      </w:r>
    </w:p>
    <w:p w14:paraId="656B90E7" w14:textId="77777777" w:rsidR="00527759" w:rsidRPr="00C53FE2" w:rsidRDefault="00527759" w:rsidP="00527759">
      <w:pPr>
        <w:rPr>
          <w:rFonts w:ascii="Calibri" w:hAnsi="Calibri"/>
        </w:rPr>
      </w:pPr>
    </w:p>
    <w:p w14:paraId="6AA2EC78" w14:textId="77777777" w:rsidR="00527759" w:rsidRPr="00C53FE2" w:rsidRDefault="00527759" w:rsidP="00527759">
      <w:pPr>
        <w:rPr>
          <w:rFonts w:ascii="Calibri" w:hAnsi="Calibri"/>
        </w:rPr>
      </w:pPr>
      <w:r w:rsidRPr="00C53FE2">
        <w:rPr>
          <w:rFonts w:ascii="Calibri" w:hAnsi="Calibri"/>
          <w:noProof/>
        </w:rPr>
        <w:drawing>
          <wp:inline distT="0" distB="0" distL="0" distR="0" wp14:anchorId="7E5104CB" wp14:editId="0531D457">
            <wp:extent cx="5943600" cy="4048125"/>
            <wp:effectExtent l="0" t="0" r="0" b="9525"/>
            <wp:docPr id="757064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797005" name=""/>
                    <pic:cNvPicPr/>
                  </pic:nvPicPr>
                  <pic:blipFill>
                    <a:blip r:embed="rId34"/>
                    <a:stretch>
                      <a:fillRect/>
                    </a:stretch>
                  </pic:blipFill>
                  <pic:spPr>
                    <a:xfrm>
                      <a:off x="0" y="0"/>
                      <a:ext cx="5943600" cy="4048125"/>
                    </a:xfrm>
                    <a:prstGeom prst="rect">
                      <a:avLst/>
                    </a:prstGeom>
                  </pic:spPr>
                </pic:pic>
              </a:graphicData>
            </a:graphic>
          </wp:inline>
        </w:drawing>
      </w:r>
    </w:p>
    <w:p w14:paraId="0756AFC8" w14:textId="77777777" w:rsidR="00527759" w:rsidRPr="00DD49AD" w:rsidRDefault="00527759" w:rsidP="00DD49AD">
      <w:pPr>
        <w:rPr>
          <w:rFonts w:ascii="Calibri" w:hAnsi="Calibri" w:cs="Calibri"/>
          <w:i/>
          <w:iCs/>
          <w:sz w:val="20"/>
          <w:szCs w:val="20"/>
        </w:rPr>
      </w:pPr>
      <w:r w:rsidRPr="00DD49AD">
        <w:rPr>
          <w:rFonts w:ascii="Calibri" w:hAnsi="Calibri" w:cs="Calibri"/>
          <w:i/>
          <w:iCs/>
          <w:sz w:val="20"/>
          <w:szCs w:val="20"/>
        </w:rPr>
        <w:t xml:space="preserve">Map Source: </w:t>
      </w:r>
      <w:hyperlink r:id="rId35" w:history="1">
        <w:r w:rsidRPr="00DD49AD">
          <w:rPr>
            <w:rFonts w:ascii="Calibri" w:hAnsi="Calibri" w:cs="Calibri"/>
            <w:i/>
            <w:iCs/>
            <w:color w:val="0563C1"/>
            <w:sz w:val="20"/>
            <w:szCs w:val="20"/>
            <w:u w:val="single"/>
          </w:rPr>
          <w:t>KCSOS</w:t>
        </w:r>
      </w:hyperlink>
      <w:r w:rsidRPr="00DD49AD">
        <w:rPr>
          <w:rFonts w:ascii="Calibri" w:hAnsi="Calibri" w:cs="Calibri"/>
          <w:i/>
          <w:iCs/>
          <w:sz w:val="20"/>
          <w:szCs w:val="20"/>
        </w:rPr>
        <w:t xml:space="preserve"> (with highlighting added)</w:t>
      </w:r>
    </w:p>
    <w:p w14:paraId="23A24C9F" w14:textId="77777777" w:rsidR="00527759" w:rsidRPr="00C53FE2" w:rsidRDefault="00527759" w:rsidP="00527759">
      <w:pPr>
        <w:spacing w:after="0"/>
        <w:textAlignment w:val="baseline"/>
        <w:rPr>
          <w:rFonts w:ascii="Calibri" w:hAnsi="Calibri" w:cs="Calibri"/>
        </w:rPr>
      </w:pPr>
    </w:p>
    <w:p w14:paraId="246235BF" w14:textId="46010EFA" w:rsidR="00527759" w:rsidRPr="00C53FE2" w:rsidRDefault="00527759" w:rsidP="00527759">
      <w:pPr>
        <w:spacing w:after="0"/>
        <w:textAlignment w:val="baseline"/>
        <w:rPr>
          <w:rFonts w:ascii="Calibri" w:hAnsi="Calibri" w:cs="Calibri"/>
        </w:rPr>
      </w:pPr>
      <w:r w:rsidRPr="00C53FE2">
        <w:rPr>
          <w:rFonts w:ascii="Calibri" w:hAnsi="Calibri" w:cs="Calibri"/>
        </w:rPr>
        <w:t xml:space="preserve">The West Kern County Community College District </w:t>
      </w:r>
      <w:r w:rsidR="00DD49AD">
        <w:rPr>
          <w:rFonts w:ascii="Calibri" w:hAnsi="Calibri" w:cs="Calibri"/>
        </w:rPr>
        <w:t>comprises</w:t>
      </w:r>
      <w:r w:rsidRPr="00C53FE2">
        <w:rPr>
          <w:rFonts w:ascii="Calibri" w:hAnsi="Calibri" w:cs="Calibri"/>
        </w:rPr>
        <w:t xml:space="preserve"> the areas serviced by the Taft Union High and Maricopa Unified School Districts, in West Kern County, shown in yellow highlight on this map.</w:t>
      </w:r>
    </w:p>
    <w:p w14:paraId="66B4ACE3" w14:textId="77777777" w:rsidR="00527759" w:rsidRPr="00C53FE2" w:rsidRDefault="00527759" w:rsidP="00527759">
      <w:pPr>
        <w:spacing w:after="0"/>
        <w:textAlignment w:val="baseline"/>
        <w:rPr>
          <w:rFonts w:ascii="Calibri" w:hAnsi="Calibri" w:cs="Calibri"/>
        </w:rPr>
      </w:pPr>
    </w:p>
    <w:p w14:paraId="3C596BC3" w14:textId="77777777" w:rsidR="00527759" w:rsidRPr="00C53FE2" w:rsidRDefault="00527759" w:rsidP="00527759">
      <w:pPr>
        <w:spacing w:after="0"/>
        <w:textAlignment w:val="baseline"/>
        <w:rPr>
          <w:rFonts w:ascii="Calibri" w:hAnsi="Calibri" w:cs="Calibri"/>
        </w:rPr>
      </w:pPr>
    </w:p>
    <w:p w14:paraId="4D87F5E0" w14:textId="77777777" w:rsidR="00527759" w:rsidRDefault="00527759" w:rsidP="00527759">
      <w:pPr>
        <w:rPr>
          <w:rFonts w:ascii="Calibri" w:eastAsia="DengXian Light" w:hAnsi="Calibri" w:cs="Calibri"/>
          <w:b/>
          <w:bCs/>
          <w:color w:val="FF9900"/>
          <w:sz w:val="28"/>
          <w:szCs w:val="28"/>
        </w:rPr>
      </w:pPr>
      <w:bookmarkStart w:id="170" w:name="_Toc168762729"/>
      <w:r>
        <w:rPr>
          <w:rFonts w:ascii="Calibri" w:eastAsia="DengXian Light" w:hAnsi="Calibri" w:cs="Calibri"/>
          <w:b/>
          <w:bCs/>
          <w:color w:val="FF9900"/>
          <w:sz w:val="28"/>
          <w:szCs w:val="28"/>
        </w:rPr>
        <w:br w:type="page"/>
      </w:r>
    </w:p>
    <w:p w14:paraId="73F06AA3" w14:textId="77777777" w:rsidR="00527759" w:rsidRDefault="00527759" w:rsidP="00091694">
      <w:bookmarkStart w:id="171" w:name="_Toc194324229"/>
      <w:r>
        <w:lastRenderedPageBreak/>
        <w:t xml:space="preserve">Population </w:t>
      </w:r>
      <w:r w:rsidRPr="00C53FE2">
        <w:t>Proximity to Taft College</w:t>
      </w:r>
      <w:bookmarkEnd w:id="170"/>
      <w:bookmarkEnd w:id="171"/>
    </w:p>
    <w:p w14:paraId="6937EE5E" w14:textId="77777777" w:rsidR="00527759" w:rsidRPr="00D36A77" w:rsidRDefault="00527759" w:rsidP="00527759"/>
    <w:p w14:paraId="21C06F6E" w14:textId="77777777" w:rsidR="00527759" w:rsidRPr="00C53FE2" w:rsidRDefault="00527759" w:rsidP="00527759">
      <w:pPr>
        <w:rPr>
          <w:rFonts w:ascii="Calibri" w:hAnsi="Calibri"/>
        </w:rPr>
      </w:pPr>
      <w:r w:rsidRPr="00C53FE2">
        <w:rPr>
          <w:rFonts w:ascii="Calibri" w:hAnsi="Calibri"/>
          <w:noProof/>
        </w:rPr>
        <w:drawing>
          <wp:anchor distT="0" distB="0" distL="114300" distR="114300" simplePos="0" relativeHeight="251676672" behindDoc="0" locked="0" layoutInCell="1" allowOverlap="1" wp14:anchorId="63ABB2FE" wp14:editId="4CFEAC9D">
            <wp:simplePos x="0" y="0"/>
            <wp:positionH relativeFrom="column">
              <wp:posOffset>0</wp:posOffset>
            </wp:positionH>
            <wp:positionV relativeFrom="paragraph">
              <wp:posOffset>26035</wp:posOffset>
            </wp:positionV>
            <wp:extent cx="3606800" cy="4458715"/>
            <wp:effectExtent l="0" t="0" r="0" b="0"/>
            <wp:wrapThrough wrapText="bothSides">
              <wp:wrapPolygon edited="0">
                <wp:start x="0" y="0"/>
                <wp:lineTo x="0" y="21505"/>
                <wp:lineTo x="21448" y="21505"/>
                <wp:lineTo x="21448" y="0"/>
                <wp:lineTo x="0" y="0"/>
              </wp:wrapPolygon>
            </wp:wrapThrough>
            <wp:docPr id="2073305817" name="Content Placeholder 4">
              <a:extLst xmlns:a="http://schemas.openxmlformats.org/drawingml/2006/main">
                <a:ext uri="{FF2B5EF4-FFF2-40B4-BE49-F238E27FC236}">
                  <a16:creationId xmlns:a16="http://schemas.microsoft.com/office/drawing/2014/main" id="{430C27EF-0F42-C82A-3068-EF0230348D4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430C27EF-0F42-C82A-3068-EF0230348D4D}"/>
                        </a:ext>
                      </a:extLst>
                    </pic:cNvPr>
                    <pic:cNvPicPr>
                      <a:picLocks noGrp="1"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606800" cy="4458715"/>
                    </a:xfrm>
                    <a:prstGeom prst="rect">
                      <a:avLst/>
                    </a:prstGeom>
                  </pic:spPr>
                </pic:pic>
              </a:graphicData>
            </a:graphic>
          </wp:anchor>
        </w:drawing>
      </w:r>
    </w:p>
    <w:p w14:paraId="6E7F9C49" w14:textId="77777777" w:rsidR="00527759" w:rsidRPr="00C53FE2" w:rsidRDefault="00527759" w:rsidP="00527759">
      <w:pPr>
        <w:rPr>
          <w:rFonts w:ascii="Calibri" w:hAnsi="Calibri"/>
        </w:rPr>
      </w:pPr>
      <w:r w:rsidRPr="00C53FE2">
        <w:rPr>
          <w:rFonts w:ascii="Calibri" w:hAnsi="Calibri"/>
        </w:rPr>
        <w:t xml:space="preserve">The City of Taft provides this </w:t>
      </w:r>
      <w:hyperlink r:id="rId37" w:history="1">
        <w:r w:rsidRPr="00C53FE2">
          <w:rPr>
            <w:rFonts w:ascii="Calibri" w:hAnsi="Calibri"/>
            <w:color w:val="0563C1"/>
            <w:u w:val="single"/>
          </w:rPr>
          <w:t>map</w:t>
        </w:r>
      </w:hyperlink>
      <w:r w:rsidRPr="00C53FE2">
        <w:rPr>
          <w:rFonts w:ascii="Calibri" w:hAnsi="Calibri"/>
        </w:rPr>
        <w:t xml:space="preserve"> showing commute times to Taft from the region. </w:t>
      </w:r>
    </w:p>
    <w:p w14:paraId="309B87BE" w14:textId="77777777" w:rsidR="00527759" w:rsidRPr="00C53FE2" w:rsidRDefault="00527759" w:rsidP="00527759">
      <w:pPr>
        <w:rPr>
          <w:rFonts w:ascii="Calibri" w:hAnsi="Calibri"/>
        </w:rPr>
      </w:pPr>
      <w:r w:rsidRPr="00C53FE2">
        <w:rPr>
          <w:rFonts w:ascii="Calibri" w:hAnsi="Calibri"/>
        </w:rPr>
        <w:t>While the preponderance of Taft College students resides in Bakersfield, only west Bakersfield is within a 30-minute commute time.</w:t>
      </w:r>
    </w:p>
    <w:p w14:paraId="59B35B2A" w14:textId="72C86E37" w:rsidR="00527759" w:rsidRPr="00C53FE2" w:rsidRDefault="00357D3B" w:rsidP="00527759">
      <w:pPr>
        <w:rPr>
          <w:rFonts w:ascii="Calibri" w:hAnsi="Calibri"/>
        </w:rPr>
      </w:pPr>
      <w:r>
        <w:rPr>
          <w:rFonts w:ascii="Calibri" w:hAnsi="Calibri"/>
        </w:rPr>
        <w:t>In 2020, a</w:t>
      </w:r>
      <w:r w:rsidR="00527759" w:rsidRPr="00C53FE2">
        <w:rPr>
          <w:rFonts w:ascii="Calibri" w:hAnsi="Calibri"/>
        </w:rPr>
        <w:t>ccording to the City of Taft, 18,739 people lived within a ten-minute drive of Taft, 23,807 within a 20-minute drive, and 29,185 within a 30-minute drive.</w:t>
      </w:r>
    </w:p>
    <w:p w14:paraId="50BD3D9D" w14:textId="77777777" w:rsidR="00527759" w:rsidRPr="00C53FE2" w:rsidRDefault="00527759" w:rsidP="00527759">
      <w:pPr>
        <w:rPr>
          <w:rFonts w:ascii="Calibri" w:hAnsi="Calibri"/>
        </w:rPr>
      </w:pPr>
      <w:r w:rsidRPr="00C53FE2">
        <w:rPr>
          <w:rFonts w:ascii="Calibri" w:hAnsi="Calibri"/>
        </w:rPr>
        <w:br w:type="page"/>
      </w:r>
    </w:p>
    <w:p w14:paraId="06F18455" w14:textId="77777777" w:rsidR="00527759" w:rsidRPr="00C53FE2" w:rsidRDefault="00527759" w:rsidP="00091694">
      <w:bookmarkStart w:id="172" w:name="_Toc168762730"/>
      <w:bookmarkStart w:id="173" w:name="_Toc194324230"/>
      <w:r w:rsidRPr="00C53FE2">
        <w:lastRenderedPageBreak/>
        <w:t>Kern County Population</w:t>
      </w:r>
      <w:bookmarkEnd w:id="172"/>
      <w:bookmarkEnd w:id="173"/>
    </w:p>
    <w:p w14:paraId="7A6E719D" w14:textId="77777777" w:rsidR="00527759" w:rsidRPr="00C53FE2" w:rsidRDefault="00527759" w:rsidP="00527759">
      <w:pPr>
        <w:rPr>
          <w:rFonts w:ascii="Calibri" w:hAnsi="Calibri"/>
        </w:rPr>
      </w:pPr>
    </w:p>
    <w:p w14:paraId="7A0991D6" w14:textId="77777777" w:rsidR="00527759" w:rsidRDefault="00527759" w:rsidP="00527759">
      <w:pPr>
        <w:rPr>
          <w:rFonts w:ascii="Calibri" w:hAnsi="Calibri"/>
          <w:color w:val="ED7D31"/>
          <w:sz w:val="28"/>
          <w:szCs w:val="28"/>
        </w:rPr>
      </w:pPr>
      <w:r w:rsidRPr="00C53FE2">
        <w:rPr>
          <w:rFonts w:ascii="Calibri" w:hAnsi="Calibri"/>
          <w:noProof/>
        </w:rPr>
        <w:drawing>
          <wp:inline distT="0" distB="0" distL="0" distR="0" wp14:anchorId="6130E3EA" wp14:editId="2BA482E4">
            <wp:extent cx="4395404" cy="2764033"/>
            <wp:effectExtent l="0" t="0" r="5715" b="0"/>
            <wp:docPr id="1174492243" name="Picture 8">
              <a:extLst xmlns:a="http://schemas.openxmlformats.org/drawingml/2006/main">
                <a:ext uri="{FF2B5EF4-FFF2-40B4-BE49-F238E27FC236}">
                  <a16:creationId xmlns:a16="http://schemas.microsoft.com/office/drawing/2014/main" id="{8F29E0F8-A394-EC54-8B48-67DF762CA4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F29E0F8-A394-EC54-8B48-67DF762CA4D1}"/>
                        </a:ext>
                      </a:extLst>
                    </pic:cNvPr>
                    <pic:cNvPicPr>
                      <a:picLocks noChangeAspect="1"/>
                    </pic:cNvPicPr>
                  </pic:nvPicPr>
                  <pic:blipFill>
                    <a:blip r:embed="rId38"/>
                    <a:stretch>
                      <a:fillRect/>
                    </a:stretch>
                  </pic:blipFill>
                  <pic:spPr>
                    <a:xfrm>
                      <a:off x="0" y="0"/>
                      <a:ext cx="4409769" cy="2773067"/>
                    </a:xfrm>
                    <a:prstGeom prst="rect">
                      <a:avLst/>
                    </a:prstGeom>
                  </pic:spPr>
                </pic:pic>
              </a:graphicData>
            </a:graphic>
          </wp:inline>
        </w:drawing>
      </w:r>
    </w:p>
    <w:p w14:paraId="5C2CBE0B" w14:textId="77777777" w:rsidR="00527759" w:rsidRPr="00DD49AD" w:rsidRDefault="00527759" w:rsidP="00527759">
      <w:pPr>
        <w:spacing w:after="0"/>
        <w:rPr>
          <w:i/>
          <w:iCs/>
          <w:sz w:val="20"/>
          <w:szCs w:val="20"/>
        </w:rPr>
      </w:pPr>
      <w:r w:rsidRPr="00DD49AD">
        <w:rPr>
          <w:i/>
          <w:iCs/>
          <w:sz w:val="20"/>
          <w:szCs w:val="20"/>
        </w:rPr>
        <w:t xml:space="preserve">Map source: </w:t>
      </w:r>
    </w:p>
    <w:p w14:paraId="3B839D37" w14:textId="77777777" w:rsidR="00527759" w:rsidRPr="00DD49AD" w:rsidRDefault="00527759" w:rsidP="00527759">
      <w:pPr>
        <w:spacing w:after="0"/>
        <w:rPr>
          <w:i/>
          <w:iCs/>
          <w:sz w:val="20"/>
          <w:szCs w:val="20"/>
        </w:rPr>
      </w:pPr>
      <w:hyperlink r:id="rId39" w:anchor="google_vignette" w:history="1">
        <w:r w:rsidRPr="00DD49AD">
          <w:rPr>
            <w:rStyle w:val="Hyperlink"/>
            <w:i/>
            <w:iCs/>
            <w:sz w:val="20"/>
            <w:szCs w:val="20"/>
          </w:rPr>
          <w:t>https://www.mapsofworld.com/usa/county-maps/california/kern-county-map.html#google_vignette</w:t>
        </w:r>
      </w:hyperlink>
    </w:p>
    <w:p w14:paraId="43330C11" w14:textId="77777777" w:rsidR="00527759" w:rsidRPr="00C53FE2" w:rsidRDefault="00527759" w:rsidP="00527759">
      <w:pPr>
        <w:spacing w:after="0"/>
        <w:rPr>
          <w:i/>
          <w:iCs/>
        </w:rPr>
      </w:pPr>
    </w:p>
    <w:p w14:paraId="1862ADC9" w14:textId="77777777" w:rsidR="00527759" w:rsidRPr="00C53FE2" w:rsidRDefault="00527759" w:rsidP="00527759">
      <w:pPr>
        <w:rPr>
          <w:rFonts w:ascii="Calibri" w:hAnsi="Calibri"/>
        </w:rPr>
      </w:pPr>
      <w:r w:rsidRPr="00C53FE2">
        <w:rPr>
          <w:rFonts w:ascii="Calibri" w:hAnsi="Calibri"/>
        </w:rPr>
        <w:t>Nearly one million people (909,235) live in Kern County. One-third (33.9%) of the population of Kern County lives in unincorporated areas. Bakersfield is by far the largest city in Kern County, where 44.3% of the population resides. Taft and Maricopa are the two smallest incorporated towns in the County, accounting for 1.1% of the population.</w:t>
      </w:r>
    </w:p>
    <w:tbl>
      <w:tblPr>
        <w:tblW w:w="5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1633"/>
        <w:gridCol w:w="1319"/>
      </w:tblGrid>
      <w:tr w:rsidR="00527759" w:rsidRPr="00C53FE2" w14:paraId="69E12A7B" w14:textId="77777777" w:rsidTr="00B13ECD">
        <w:trPr>
          <w:trHeight w:val="560"/>
          <w:jc w:val="center"/>
        </w:trPr>
        <w:tc>
          <w:tcPr>
            <w:tcW w:w="2777" w:type="dxa"/>
            <w:shd w:val="clear" w:color="auto" w:fill="FFC000"/>
            <w:noWrap/>
            <w:vAlign w:val="bottom"/>
            <w:hideMark/>
          </w:tcPr>
          <w:p w14:paraId="1CB1C80C" w14:textId="77777777" w:rsidR="00527759" w:rsidRPr="00C53FE2" w:rsidRDefault="00527759" w:rsidP="00B13ECD">
            <w:pPr>
              <w:rPr>
                <w:rFonts w:ascii="Calibri" w:hAnsi="Calibri" w:cs="Calibri"/>
              </w:rPr>
            </w:pPr>
            <w:r w:rsidRPr="00C53FE2">
              <w:rPr>
                <w:rFonts w:ascii="Calibri" w:hAnsi="Calibri" w:cs="Calibri"/>
              </w:rPr>
              <w:t>City/Town/Area</w:t>
            </w:r>
          </w:p>
        </w:tc>
        <w:tc>
          <w:tcPr>
            <w:tcW w:w="1633" w:type="dxa"/>
            <w:shd w:val="clear" w:color="auto" w:fill="FFC000"/>
            <w:noWrap/>
            <w:vAlign w:val="bottom"/>
            <w:hideMark/>
          </w:tcPr>
          <w:p w14:paraId="6B542788" w14:textId="77777777" w:rsidR="00527759" w:rsidRPr="00C53FE2" w:rsidRDefault="00527759" w:rsidP="00B13ECD">
            <w:pPr>
              <w:rPr>
                <w:rFonts w:ascii="Calibri" w:hAnsi="Calibri" w:cs="Calibri"/>
              </w:rPr>
            </w:pPr>
            <w:r w:rsidRPr="00C53FE2">
              <w:rPr>
                <w:rFonts w:ascii="Calibri" w:hAnsi="Calibri" w:cs="Calibri"/>
              </w:rPr>
              <w:t>Population in 2020</w:t>
            </w:r>
          </w:p>
        </w:tc>
        <w:tc>
          <w:tcPr>
            <w:tcW w:w="1319" w:type="dxa"/>
            <w:shd w:val="clear" w:color="auto" w:fill="FFC000"/>
            <w:vAlign w:val="bottom"/>
            <w:hideMark/>
          </w:tcPr>
          <w:p w14:paraId="167D8EEF" w14:textId="77777777" w:rsidR="00527759" w:rsidRPr="00C53FE2" w:rsidRDefault="00527759" w:rsidP="00B13ECD">
            <w:pPr>
              <w:rPr>
                <w:rFonts w:ascii="Calibri" w:hAnsi="Calibri" w:cs="Calibri"/>
              </w:rPr>
            </w:pPr>
            <w:r w:rsidRPr="00C53FE2">
              <w:rPr>
                <w:rFonts w:ascii="Calibri" w:hAnsi="Calibri" w:cs="Calibri"/>
              </w:rPr>
              <w:t>% of County Population</w:t>
            </w:r>
          </w:p>
        </w:tc>
      </w:tr>
      <w:tr w:rsidR="00527759" w:rsidRPr="00C53FE2" w14:paraId="62885A22" w14:textId="77777777" w:rsidTr="00B13ECD">
        <w:trPr>
          <w:trHeight w:val="280"/>
          <w:jc w:val="center"/>
        </w:trPr>
        <w:tc>
          <w:tcPr>
            <w:tcW w:w="2777" w:type="dxa"/>
            <w:shd w:val="clear" w:color="auto" w:fill="auto"/>
            <w:noWrap/>
            <w:vAlign w:val="center"/>
            <w:hideMark/>
          </w:tcPr>
          <w:p w14:paraId="7E27B1B5" w14:textId="77777777" w:rsidR="00527759" w:rsidRPr="00C53FE2" w:rsidRDefault="00527759" w:rsidP="00B13ECD">
            <w:pPr>
              <w:rPr>
                <w:rFonts w:ascii="Calibri" w:hAnsi="Calibri" w:cs="Calibri"/>
                <w:color w:val="000000"/>
              </w:rPr>
            </w:pPr>
            <w:r w:rsidRPr="00C53FE2">
              <w:rPr>
                <w:rFonts w:ascii="Calibri" w:hAnsi="Calibri" w:cs="Calibri"/>
                <w:color w:val="000000"/>
              </w:rPr>
              <w:t xml:space="preserve">Bakersfield        </w:t>
            </w:r>
          </w:p>
        </w:tc>
        <w:tc>
          <w:tcPr>
            <w:tcW w:w="1633" w:type="dxa"/>
            <w:shd w:val="clear" w:color="auto" w:fill="auto"/>
            <w:noWrap/>
            <w:vAlign w:val="center"/>
            <w:hideMark/>
          </w:tcPr>
          <w:p w14:paraId="53D964B7" w14:textId="77777777" w:rsidR="00527759" w:rsidRPr="00C53FE2" w:rsidRDefault="00527759" w:rsidP="00B13ECD">
            <w:pPr>
              <w:rPr>
                <w:rFonts w:ascii="Calibri" w:hAnsi="Calibri" w:cs="Calibri"/>
                <w:color w:val="000000"/>
              </w:rPr>
            </w:pPr>
            <w:r w:rsidRPr="00C53FE2">
              <w:rPr>
                <w:rFonts w:ascii="Calibri" w:hAnsi="Calibri" w:cs="Calibri"/>
                <w:color w:val="000000"/>
              </w:rPr>
              <w:t>402,857</w:t>
            </w:r>
          </w:p>
        </w:tc>
        <w:tc>
          <w:tcPr>
            <w:tcW w:w="1319" w:type="dxa"/>
            <w:shd w:val="clear" w:color="auto" w:fill="auto"/>
            <w:noWrap/>
            <w:vAlign w:val="bottom"/>
            <w:hideMark/>
          </w:tcPr>
          <w:p w14:paraId="55F992FA" w14:textId="77777777" w:rsidR="00527759" w:rsidRPr="00C53FE2" w:rsidRDefault="00527759" w:rsidP="00B13ECD">
            <w:pPr>
              <w:rPr>
                <w:rFonts w:ascii="Calibri" w:hAnsi="Calibri" w:cs="Calibri"/>
                <w:color w:val="000000"/>
              </w:rPr>
            </w:pPr>
            <w:r w:rsidRPr="00C53FE2">
              <w:rPr>
                <w:rFonts w:ascii="Calibri" w:hAnsi="Calibri" w:cs="Calibri"/>
                <w:color w:val="000000"/>
              </w:rPr>
              <w:t>44.3%</w:t>
            </w:r>
          </w:p>
        </w:tc>
      </w:tr>
      <w:tr w:rsidR="00527759" w:rsidRPr="00C53FE2" w14:paraId="415A6E16" w14:textId="77777777" w:rsidTr="00B13ECD">
        <w:trPr>
          <w:trHeight w:val="280"/>
          <w:jc w:val="center"/>
        </w:trPr>
        <w:tc>
          <w:tcPr>
            <w:tcW w:w="2777" w:type="dxa"/>
            <w:shd w:val="clear" w:color="auto" w:fill="auto"/>
            <w:noWrap/>
            <w:vAlign w:val="center"/>
            <w:hideMark/>
          </w:tcPr>
          <w:p w14:paraId="23F6B7F9" w14:textId="77777777" w:rsidR="00527759" w:rsidRPr="00C53FE2" w:rsidRDefault="00527759" w:rsidP="00B13ECD">
            <w:pPr>
              <w:rPr>
                <w:rFonts w:ascii="Calibri" w:hAnsi="Calibri" w:cs="Calibri"/>
                <w:color w:val="000000"/>
              </w:rPr>
            </w:pPr>
            <w:r w:rsidRPr="00C53FE2">
              <w:rPr>
                <w:rFonts w:ascii="Calibri" w:hAnsi="Calibri" w:cs="Calibri"/>
                <w:color w:val="000000"/>
              </w:rPr>
              <w:t>Unincorporated</w:t>
            </w:r>
          </w:p>
        </w:tc>
        <w:tc>
          <w:tcPr>
            <w:tcW w:w="1633" w:type="dxa"/>
            <w:shd w:val="clear" w:color="auto" w:fill="auto"/>
            <w:noWrap/>
            <w:vAlign w:val="center"/>
            <w:hideMark/>
          </w:tcPr>
          <w:p w14:paraId="4AFC9B55" w14:textId="77777777" w:rsidR="00527759" w:rsidRPr="00C53FE2" w:rsidRDefault="00527759" w:rsidP="00B13ECD">
            <w:pPr>
              <w:rPr>
                <w:rFonts w:ascii="Calibri" w:hAnsi="Calibri" w:cs="Calibri"/>
                <w:color w:val="000000"/>
              </w:rPr>
            </w:pPr>
            <w:r w:rsidRPr="00C53FE2">
              <w:rPr>
                <w:rFonts w:ascii="Calibri" w:hAnsi="Calibri" w:cs="Calibri"/>
                <w:color w:val="000000"/>
              </w:rPr>
              <w:t>308,220</w:t>
            </w:r>
          </w:p>
        </w:tc>
        <w:tc>
          <w:tcPr>
            <w:tcW w:w="1319" w:type="dxa"/>
            <w:shd w:val="clear" w:color="auto" w:fill="auto"/>
            <w:noWrap/>
            <w:vAlign w:val="bottom"/>
            <w:hideMark/>
          </w:tcPr>
          <w:p w14:paraId="57DFD77B" w14:textId="77777777" w:rsidR="00527759" w:rsidRPr="00C53FE2" w:rsidRDefault="00527759" w:rsidP="00B13ECD">
            <w:pPr>
              <w:rPr>
                <w:rFonts w:ascii="Calibri" w:hAnsi="Calibri" w:cs="Calibri"/>
                <w:color w:val="000000"/>
              </w:rPr>
            </w:pPr>
            <w:r w:rsidRPr="00C53FE2">
              <w:rPr>
                <w:rFonts w:ascii="Calibri" w:hAnsi="Calibri" w:cs="Calibri"/>
                <w:color w:val="000000"/>
              </w:rPr>
              <w:t>33.9%</w:t>
            </w:r>
          </w:p>
        </w:tc>
      </w:tr>
      <w:tr w:rsidR="00527759" w:rsidRPr="00C53FE2" w14:paraId="43811833" w14:textId="77777777" w:rsidTr="00B13ECD">
        <w:trPr>
          <w:trHeight w:val="280"/>
          <w:jc w:val="center"/>
        </w:trPr>
        <w:tc>
          <w:tcPr>
            <w:tcW w:w="2777" w:type="dxa"/>
            <w:shd w:val="clear" w:color="auto" w:fill="auto"/>
            <w:noWrap/>
            <w:vAlign w:val="center"/>
            <w:hideMark/>
          </w:tcPr>
          <w:p w14:paraId="453E2B1E" w14:textId="77777777" w:rsidR="00527759" w:rsidRPr="00C53FE2" w:rsidRDefault="00527759" w:rsidP="00B13ECD">
            <w:pPr>
              <w:rPr>
                <w:rFonts w:ascii="Calibri" w:hAnsi="Calibri" w:cs="Calibri"/>
                <w:color w:val="000000"/>
              </w:rPr>
            </w:pPr>
            <w:r w:rsidRPr="00C53FE2">
              <w:rPr>
                <w:rFonts w:ascii="Calibri" w:hAnsi="Calibri" w:cs="Calibri"/>
                <w:color w:val="000000"/>
              </w:rPr>
              <w:t xml:space="preserve">Delano              </w:t>
            </w:r>
          </w:p>
        </w:tc>
        <w:tc>
          <w:tcPr>
            <w:tcW w:w="1633" w:type="dxa"/>
            <w:shd w:val="clear" w:color="auto" w:fill="auto"/>
            <w:noWrap/>
            <w:vAlign w:val="center"/>
            <w:hideMark/>
          </w:tcPr>
          <w:p w14:paraId="7D08F1AA" w14:textId="77777777" w:rsidR="00527759" w:rsidRPr="00C53FE2" w:rsidRDefault="00527759" w:rsidP="00B13ECD">
            <w:pPr>
              <w:rPr>
                <w:rFonts w:ascii="Calibri" w:hAnsi="Calibri" w:cs="Calibri"/>
                <w:color w:val="000000"/>
              </w:rPr>
            </w:pPr>
            <w:r w:rsidRPr="00C53FE2">
              <w:rPr>
                <w:rFonts w:ascii="Calibri" w:hAnsi="Calibri" w:cs="Calibri"/>
                <w:color w:val="000000"/>
              </w:rPr>
              <w:t>51,577</w:t>
            </w:r>
          </w:p>
        </w:tc>
        <w:tc>
          <w:tcPr>
            <w:tcW w:w="1319" w:type="dxa"/>
            <w:shd w:val="clear" w:color="auto" w:fill="auto"/>
            <w:noWrap/>
            <w:vAlign w:val="bottom"/>
            <w:hideMark/>
          </w:tcPr>
          <w:p w14:paraId="5B2C09CE" w14:textId="77777777" w:rsidR="00527759" w:rsidRPr="00C53FE2" w:rsidRDefault="00527759" w:rsidP="00B13ECD">
            <w:pPr>
              <w:rPr>
                <w:rFonts w:ascii="Calibri" w:hAnsi="Calibri" w:cs="Calibri"/>
                <w:color w:val="000000"/>
              </w:rPr>
            </w:pPr>
            <w:r w:rsidRPr="00C53FE2">
              <w:rPr>
                <w:rFonts w:ascii="Calibri" w:hAnsi="Calibri" w:cs="Calibri"/>
                <w:color w:val="000000"/>
              </w:rPr>
              <w:t>5.7%</w:t>
            </w:r>
          </w:p>
        </w:tc>
      </w:tr>
      <w:tr w:rsidR="00527759" w:rsidRPr="00C53FE2" w14:paraId="113DD490" w14:textId="77777777" w:rsidTr="00B13ECD">
        <w:trPr>
          <w:trHeight w:val="280"/>
          <w:jc w:val="center"/>
        </w:trPr>
        <w:tc>
          <w:tcPr>
            <w:tcW w:w="2777" w:type="dxa"/>
            <w:shd w:val="clear" w:color="auto" w:fill="auto"/>
            <w:noWrap/>
            <w:vAlign w:val="center"/>
            <w:hideMark/>
          </w:tcPr>
          <w:p w14:paraId="4A8A39BD" w14:textId="77777777" w:rsidR="00527759" w:rsidRPr="00C53FE2" w:rsidRDefault="00527759" w:rsidP="00B13ECD">
            <w:pPr>
              <w:rPr>
                <w:rFonts w:ascii="Calibri" w:hAnsi="Calibri" w:cs="Calibri"/>
                <w:color w:val="000000"/>
              </w:rPr>
            </w:pPr>
            <w:r w:rsidRPr="00C53FE2">
              <w:rPr>
                <w:rFonts w:ascii="Calibri" w:hAnsi="Calibri" w:cs="Calibri"/>
                <w:color w:val="000000"/>
              </w:rPr>
              <w:t xml:space="preserve">Ridgecrest          </w:t>
            </w:r>
          </w:p>
        </w:tc>
        <w:tc>
          <w:tcPr>
            <w:tcW w:w="1633" w:type="dxa"/>
            <w:shd w:val="clear" w:color="auto" w:fill="auto"/>
            <w:noWrap/>
            <w:vAlign w:val="center"/>
            <w:hideMark/>
          </w:tcPr>
          <w:p w14:paraId="33D5E000" w14:textId="77777777" w:rsidR="00527759" w:rsidRPr="00C53FE2" w:rsidRDefault="00527759" w:rsidP="00B13ECD">
            <w:pPr>
              <w:rPr>
                <w:rFonts w:ascii="Calibri" w:hAnsi="Calibri" w:cs="Calibri"/>
                <w:color w:val="000000"/>
              </w:rPr>
            </w:pPr>
            <w:r w:rsidRPr="00C53FE2">
              <w:rPr>
                <w:rFonts w:ascii="Calibri" w:hAnsi="Calibri" w:cs="Calibri"/>
                <w:color w:val="000000"/>
              </w:rPr>
              <w:t>27,850</w:t>
            </w:r>
          </w:p>
        </w:tc>
        <w:tc>
          <w:tcPr>
            <w:tcW w:w="1319" w:type="dxa"/>
            <w:shd w:val="clear" w:color="auto" w:fill="auto"/>
            <w:noWrap/>
            <w:vAlign w:val="bottom"/>
            <w:hideMark/>
          </w:tcPr>
          <w:p w14:paraId="2EFF3FC2" w14:textId="77777777" w:rsidR="00527759" w:rsidRPr="00C53FE2" w:rsidRDefault="00527759" w:rsidP="00B13ECD">
            <w:pPr>
              <w:rPr>
                <w:rFonts w:ascii="Calibri" w:hAnsi="Calibri" w:cs="Calibri"/>
                <w:color w:val="000000"/>
              </w:rPr>
            </w:pPr>
            <w:r w:rsidRPr="00C53FE2">
              <w:rPr>
                <w:rFonts w:ascii="Calibri" w:hAnsi="Calibri" w:cs="Calibri"/>
                <w:color w:val="000000"/>
              </w:rPr>
              <w:t>3.1%</w:t>
            </w:r>
          </w:p>
        </w:tc>
      </w:tr>
      <w:tr w:rsidR="00527759" w:rsidRPr="00C53FE2" w14:paraId="0CCF0ACF" w14:textId="77777777" w:rsidTr="00B13ECD">
        <w:trPr>
          <w:trHeight w:val="280"/>
          <w:jc w:val="center"/>
        </w:trPr>
        <w:tc>
          <w:tcPr>
            <w:tcW w:w="2777" w:type="dxa"/>
            <w:shd w:val="clear" w:color="auto" w:fill="auto"/>
            <w:noWrap/>
            <w:vAlign w:val="center"/>
            <w:hideMark/>
          </w:tcPr>
          <w:p w14:paraId="0C105F0C" w14:textId="77777777" w:rsidR="00527759" w:rsidRPr="00C53FE2" w:rsidRDefault="00527759" w:rsidP="00B13ECD">
            <w:pPr>
              <w:rPr>
                <w:rFonts w:ascii="Calibri" w:hAnsi="Calibri" w:cs="Calibri"/>
                <w:color w:val="000000"/>
              </w:rPr>
            </w:pPr>
            <w:r w:rsidRPr="00C53FE2">
              <w:rPr>
                <w:rFonts w:ascii="Calibri" w:hAnsi="Calibri" w:cs="Calibri"/>
                <w:color w:val="000000"/>
              </w:rPr>
              <w:t xml:space="preserve">Wasco               </w:t>
            </w:r>
          </w:p>
        </w:tc>
        <w:tc>
          <w:tcPr>
            <w:tcW w:w="1633" w:type="dxa"/>
            <w:shd w:val="clear" w:color="auto" w:fill="auto"/>
            <w:noWrap/>
            <w:vAlign w:val="center"/>
            <w:hideMark/>
          </w:tcPr>
          <w:p w14:paraId="6B1B14D1" w14:textId="77777777" w:rsidR="00527759" w:rsidRPr="00C53FE2" w:rsidRDefault="00527759" w:rsidP="00B13ECD">
            <w:pPr>
              <w:rPr>
                <w:rFonts w:ascii="Calibri" w:hAnsi="Calibri" w:cs="Calibri"/>
                <w:color w:val="000000"/>
              </w:rPr>
            </w:pPr>
            <w:r w:rsidRPr="00C53FE2">
              <w:rPr>
                <w:rFonts w:ascii="Calibri" w:hAnsi="Calibri" w:cs="Calibri"/>
                <w:color w:val="000000"/>
              </w:rPr>
              <w:t>27,116</w:t>
            </w:r>
          </w:p>
        </w:tc>
        <w:tc>
          <w:tcPr>
            <w:tcW w:w="1319" w:type="dxa"/>
            <w:shd w:val="clear" w:color="auto" w:fill="auto"/>
            <w:noWrap/>
            <w:vAlign w:val="bottom"/>
            <w:hideMark/>
          </w:tcPr>
          <w:p w14:paraId="08FA7E61" w14:textId="77777777" w:rsidR="00527759" w:rsidRPr="00C53FE2" w:rsidRDefault="00527759" w:rsidP="00B13ECD">
            <w:pPr>
              <w:rPr>
                <w:rFonts w:ascii="Calibri" w:hAnsi="Calibri" w:cs="Calibri"/>
                <w:color w:val="000000"/>
              </w:rPr>
            </w:pPr>
            <w:r w:rsidRPr="00C53FE2">
              <w:rPr>
                <w:rFonts w:ascii="Calibri" w:hAnsi="Calibri" w:cs="Calibri"/>
                <w:color w:val="000000"/>
              </w:rPr>
              <w:t>3.0%</w:t>
            </w:r>
          </w:p>
        </w:tc>
      </w:tr>
      <w:tr w:rsidR="00527759" w:rsidRPr="00C53FE2" w14:paraId="05AAE2D4" w14:textId="77777777" w:rsidTr="00B13ECD">
        <w:trPr>
          <w:trHeight w:val="280"/>
          <w:jc w:val="center"/>
        </w:trPr>
        <w:tc>
          <w:tcPr>
            <w:tcW w:w="2777" w:type="dxa"/>
            <w:shd w:val="clear" w:color="auto" w:fill="auto"/>
            <w:noWrap/>
            <w:vAlign w:val="center"/>
            <w:hideMark/>
          </w:tcPr>
          <w:p w14:paraId="7DDE6A2F" w14:textId="77777777" w:rsidR="00527759" w:rsidRPr="00C53FE2" w:rsidRDefault="00527759" w:rsidP="00B13ECD">
            <w:pPr>
              <w:rPr>
                <w:rFonts w:ascii="Calibri" w:hAnsi="Calibri" w:cs="Calibri"/>
                <w:color w:val="000000"/>
              </w:rPr>
            </w:pPr>
            <w:r w:rsidRPr="00C53FE2">
              <w:rPr>
                <w:rFonts w:ascii="Calibri" w:hAnsi="Calibri" w:cs="Calibri"/>
                <w:color w:val="000000"/>
              </w:rPr>
              <w:t xml:space="preserve">Shafter             </w:t>
            </w:r>
          </w:p>
        </w:tc>
        <w:tc>
          <w:tcPr>
            <w:tcW w:w="1633" w:type="dxa"/>
            <w:shd w:val="clear" w:color="auto" w:fill="auto"/>
            <w:noWrap/>
            <w:vAlign w:val="center"/>
            <w:hideMark/>
          </w:tcPr>
          <w:p w14:paraId="589C75BF" w14:textId="77777777" w:rsidR="00527759" w:rsidRPr="00C53FE2" w:rsidRDefault="00527759" w:rsidP="00B13ECD">
            <w:pPr>
              <w:rPr>
                <w:rFonts w:ascii="Calibri" w:hAnsi="Calibri" w:cs="Calibri"/>
                <w:color w:val="000000"/>
              </w:rPr>
            </w:pPr>
            <w:r w:rsidRPr="00C53FE2">
              <w:rPr>
                <w:rFonts w:ascii="Calibri" w:hAnsi="Calibri" w:cs="Calibri"/>
                <w:color w:val="000000"/>
              </w:rPr>
              <w:t>19,890</w:t>
            </w:r>
          </w:p>
        </w:tc>
        <w:tc>
          <w:tcPr>
            <w:tcW w:w="1319" w:type="dxa"/>
            <w:shd w:val="clear" w:color="auto" w:fill="auto"/>
            <w:noWrap/>
            <w:vAlign w:val="bottom"/>
            <w:hideMark/>
          </w:tcPr>
          <w:p w14:paraId="055E1727" w14:textId="77777777" w:rsidR="00527759" w:rsidRPr="00C53FE2" w:rsidRDefault="00527759" w:rsidP="00B13ECD">
            <w:pPr>
              <w:rPr>
                <w:rFonts w:ascii="Calibri" w:hAnsi="Calibri" w:cs="Calibri"/>
                <w:color w:val="000000"/>
              </w:rPr>
            </w:pPr>
            <w:r w:rsidRPr="00C53FE2">
              <w:rPr>
                <w:rFonts w:ascii="Calibri" w:hAnsi="Calibri" w:cs="Calibri"/>
                <w:color w:val="000000"/>
              </w:rPr>
              <w:t>2.2%</w:t>
            </w:r>
          </w:p>
        </w:tc>
      </w:tr>
      <w:tr w:rsidR="00527759" w:rsidRPr="00C53FE2" w14:paraId="50BC1696" w14:textId="77777777" w:rsidTr="00B13ECD">
        <w:trPr>
          <w:trHeight w:val="280"/>
          <w:jc w:val="center"/>
        </w:trPr>
        <w:tc>
          <w:tcPr>
            <w:tcW w:w="2777" w:type="dxa"/>
            <w:shd w:val="clear" w:color="auto" w:fill="auto"/>
            <w:noWrap/>
            <w:vAlign w:val="center"/>
            <w:hideMark/>
          </w:tcPr>
          <w:p w14:paraId="07CC8036" w14:textId="77777777" w:rsidR="00527759" w:rsidRPr="00C53FE2" w:rsidRDefault="00527759" w:rsidP="00B13ECD">
            <w:pPr>
              <w:rPr>
                <w:rFonts w:ascii="Calibri" w:hAnsi="Calibri" w:cs="Calibri"/>
                <w:color w:val="000000"/>
              </w:rPr>
            </w:pPr>
            <w:r w:rsidRPr="00C53FE2">
              <w:rPr>
                <w:rFonts w:ascii="Calibri" w:hAnsi="Calibri" w:cs="Calibri"/>
                <w:color w:val="000000"/>
              </w:rPr>
              <w:t xml:space="preserve">Arvin               </w:t>
            </w:r>
          </w:p>
        </w:tc>
        <w:tc>
          <w:tcPr>
            <w:tcW w:w="1633" w:type="dxa"/>
            <w:shd w:val="clear" w:color="auto" w:fill="auto"/>
            <w:noWrap/>
            <w:vAlign w:val="center"/>
            <w:hideMark/>
          </w:tcPr>
          <w:p w14:paraId="4B5F5D00" w14:textId="77777777" w:rsidR="00527759" w:rsidRPr="00C53FE2" w:rsidRDefault="00527759" w:rsidP="00B13ECD">
            <w:pPr>
              <w:rPr>
                <w:rFonts w:ascii="Calibri" w:hAnsi="Calibri" w:cs="Calibri"/>
                <w:color w:val="000000"/>
              </w:rPr>
            </w:pPr>
            <w:r w:rsidRPr="00C53FE2">
              <w:rPr>
                <w:rFonts w:ascii="Calibri" w:hAnsi="Calibri" w:cs="Calibri"/>
                <w:color w:val="000000"/>
              </w:rPr>
              <w:t>19,749</w:t>
            </w:r>
          </w:p>
        </w:tc>
        <w:tc>
          <w:tcPr>
            <w:tcW w:w="1319" w:type="dxa"/>
            <w:shd w:val="clear" w:color="auto" w:fill="auto"/>
            <w:noWrap/>
            <w:vAlign w:val="bottom"/>
            <w:hideMark/>
          </w:tcPr>
          <w:p w14:paraId="247FAA7C" w14:textId="77777777" w:rsidR="00527759" w:rsidRPr="00C53FE2" w:rsidRDefault="00527759" w:rsidP="00B13ECD">
            <w:pPr>
              <w:rPr>
                <w:rFonts w:ascii="Calibri" w:hAnsi="Calibri" w:cs="Calibri"/>
                <w:color w:val="000000"/>
              </w:rPr>
            </w:pPr>
            <w:r w:rsidRPr="00C53FE2">
              <w:rPr>
                <w:rFonts w:ascii="Calibri" w:hAnsi="Calibri" w:cs="Calibri"/>
                <w:color w:val="000000"/>
              </w:rPr>
              <w:t>2.2%</w:t>
            </w:r>
          </w:p>
        </w:tc>
      </w:tr>
      <w:tr w:rsidR="00527759" w:rsidRPr="00C53FE2" w14:paraId="00FC4282" w14:textId="77777777" w:rsidTr="00B13ECD">
        <w:trPr>
          <w:trHeight w:val="280"/>
          <w:jc w:val="center"/>
        </w:trPr>
        <w:tc>
          <w:tcPr>
            <w:tcW w:w="2777" w:type="dxa"/>
            <w:shd w:val="clear" w:color="auto" w:fill="auto"/>
            <w:noWrap/>
            <w:vAlign w:val="center"/>
            <w:hideMark/>
          </w:tcPr>
          <w:p w14:paraId="5ABB5387" w14:textId="77777777" w:rsidR="00527759" w:rsidRPr="00C53FE2" w:rsidRDefault="00527759" w:rsidP="00B13ECD">
            <w:pPr>
              <w:rPr>
                <w:rFonts w:ascii="Calibri" w:hAnsi="Calibri" w:cs="Calibri"/>
                <w:color w:val="000000"/>
              </w:rPr>
            </w:pPr>
            <w:r w:rsidRPr="00C53FE2">
              <w:rPr>
                <w:rFonts w:ascii="Calibri" w:hAnsi="Calibri" w:cs="Calibri"/>
                <w:color w:val="000000"/>
              </w:rPr>
              <w:t xml:space="preserve">California City     </w:t>
            </w:r>
          </w:p>
        </w:tc>
        <w:tc>
          <w:tcPr>
            <w:tcW w:w="1633" w:type="dxa"/>
            <w:shd w:val="clear" w:color="auto" w:fill="auto"/>
            <w:noWrap/>
            <w:vAlign w:val="center"/>
            <w:hideMark/>
          </w:tcPr>
          <w:p w14:paraId="5F80567B" w14:textId="77777777" w:rsidR="00527759" w:rsidRPr="00C53FE2" w:rsidRDefault="00527759" w:rsidP="00B13ECD">
            <w:pPr>
              <w:rPr>
                <w:rFonts w:ascii="Calibri" w:hAnsi="Calibri" w:cs="Calibri"/>
                <w:color w:val="000000"/>
              </w:rPr>
            </w:pPr>
            <w:r w:rsidRPr="00C53FE2">
              <w:rPr>
                <w:rFonts w:ascii="Calibri" w:hAnsi="Calibri" w:cs="Calibri"/>
                <w:color w:val="000000"/>
              </w:rPr>
              <w:t>15,014</w:t>
            </w:r>
          </w:p>
        </w:tc>
        <w:tc>
          <w:tcPr>
            <w:tcW w:w="1319" w:type="dxa"/>
            <w:shd w:val="clear" w:color="auto" w:fill="auto"/>
            <w:noWrap/>
            <w:vAlign w:val="bottom"/>
            <w:hideMark/>
          </w:tcPr>
          <w:p w14:paraId="598290DD" w14:textId="77777777" w:rsidR="00527759" w:rsidRPr="00C53FE2" w:rsidRDefault="00527759" w:rsidP="00B13ECD">
            <w:pPr>
              <w:rPr>
                <w:rFonts w:ascii="Calibri" w:hAnsi="Calibri" w:cs="Calibri"/>
                <w:color w:val="000000"/>
              </w:rPr>
            </w:pPr>
            <w:r w:rsidRPr="00C53FE2">
              <w:rPr>
                <w:rFonts w:ascii="Calibri" w:hAnsi="Calibri" w:cs="Calibri"/>
                <w:color w:val="000000"/>
              </w:rPr>
              <w:t>1.7%</w:t>
            </w:r>
          </w:p>
        </w:tc>
      </w:tr>
      <w:tr w:rsidR="00527759" w:rsidRPr="00C53FE2" w14:paraId="13E8C484" w14:textId="77777777" w:rsidTr="00B13ECD">
        <w:trPr>
          <w:trHeight w:val="280"/>
          <w:jc w:val="center"/>
        </w:trPr>
        <w:tc>
          <w:tcPr>
            <w:tcW w:w="2777" w:type="dxa"/>
            <w:shd w:val="clear" w:color="auto" w:fill="auto"/>
            <w:noWrap/>
            <w:vAlign w:val="center"/>
            <w:hideMark/>
          </w:tcPr>
          <w:p w14:paraId="68902EFE" w14:textId="77777777" w:rsidR="00527759" w:rsidRPr="00C53FE2" w:rsidRDefault="00527759" w:rsidP="00B13ECD">
            <w:pPr>
              <w:rPr>
                <w:rFonts w:ascii="Calibri" w:hAnsi="Calibri" w:cs="Calibri"/>
                <w:color w:val="000000"/>
              </w:rPr>
            </w:pPr>
            <w:r w:rsidRPr="00C53FE2">
              <w:rPr>
                <w:rFonts w:ascii="Calibri" w:hAnsi="Calibri" w:cs="Calibri"/>
                <w:color w:val="000000"/>
              </w:rPr>
              <w:t xml:space="preserve">McFarland           </w:t>
            </w:r>
          </w:p>
        </w:tc>
        <w:tc>
          <w:tcPr>
            <w:tcW w:w="1633" w:type="dxa"/>
            <w:shd w:val="clear" w:color="auto" w:fill="auto"/>
            <w:noWrap/>
            <w:vAlign w:val="center"/>
            <w:hideMark/>
          </w:tcPr>
          <w:p w14:paraId="7E67C832" w14:textId="77777777" w:rsidR="00527759" w:rsidRPr="00C53FE2" w:rsidRDefault="00527759" w:rsidP="00B13ECD">
            <w:pPr>
              <w:rPr>
                <w:rFonts w:ascii="Calibri" w:hAnsi="Calibri" w:cs="Calibri"/>
                <w:color w:val="000000"/>
              </w:rPr>
            </w:pPr>
            <w:r w:rsidRPr="00C53FE2">
              <w:rPr>
                <w:rFonts w:ascii="Calibri" w:hAnsi="Calibri" w:cs="Calibri"/>
                <w:color w:val="000000"/>
              </w:rPr>
              <w:t>14,178</w:t>
            </w:r>
          </w:p>
        </w:tc>
        <w:tc>
          <w:tcPr>
            <w:tcW w:w="1319" w:type="dxa"/>
            <w:shd w:val="clear" w:color="auto" w:fill="auto"/>
            <w:noWrap/>
            <w:vAlign w:val="bottom"/>
            <w:hideMark/>
          </w:tcPr>
          <w:p w14:paraId="6E78307B" w14:textId="77777777" w:rsidR="00527759" w:rsidRPr="00C53FE2" w:rsidRDefault="00527759" w:rsidP="00B13ECD">
            <w:pPr>
              <w:rPr>
                <w:rFonts w:ascii="Calibri" w:hAnsi="Calibri" w:cs="Calibri"/>
                <w:color w:val="000000"/>
              </w:rPr>
            </w:pPr>
            <w:r w:rsidRPr="00C53FE2">
              <w:rPr>
                <w:rFonts w:ascii="Calibri" w:hAnsi="Calibri" w:cs="Calibri"/>
                <w:color w:val="000000"/>
              </w:rPr>
              <w:t>1.6%</w:t>
            </w:r>
          </w:p>
        </w:tc>
      </w:tr>
      <w:tr w:rsidR="00527759" w:rsidRPr="00C53FE2" w14:paraId="0F23C96B" w14:textId="77777777" w:rsidTr="00B13ECD">
        <w:trPr>
          <w:trHeight w:val="280"/>
          <w:jc w:val="center"/>
        </w:trPr>
        <w:tc>
          <w:tcPr>
            <w:tcW w:w="2777" w:type="dxa"/>
            <w:shd w:val="clear" w:color="auto" w:fill="auto"/>
            <w:noWrap/>
            <w:vAlign w:val="center"/>
            <w:hideMark/>
          </w:tcPr>
          <w:p w14:paraId="63C7A9BC" w14:textId="77777777" w:rsidR="00527759" w:rsidRPr="00C53FE2" w:rsidRDefault="00527759" w:rsidP="00B13ECD">
            <w:pPr>
              <w:rPr>
                <w:rFonts w:ascii="Calibri" w:hAnsi="Calibri" w:cs="Calibri"/>
                <w:color w:val="000000"/>
              </w:rPr>
            </w:pPr>
            <w:r w:rsidRPr="00C53FE2">
              <w:rPr>
                <w:rFonts w:ascii="Calibri" w:hAnsi="Calibri" w:cs="Calibri"/>
                <w:color w:val="000000"/>
              </w:rPr>
              <w:t xml:space="preserve">Tehachapi           </w:t>
            </w:r>
          </w:p>
        </w:tc>
        <w:tc>
          <w:tcPr>
            <w:tcW w:w="1633" w:type="dxa"/>
            <w:shd w:val="clear" w:color="auto" w:fill="auto"/>
            <w:noWrap/>
            <w:vAlign w:val="center"/>
            <w:hideMark/>
          </w:tcPr>
          <w:p w14:paraId="7DC76A75" w14:textId="77777777" w:rsidR="00527759" w:rsidRPr="00C53FE2" w:rsidRDefault="00527759" w:rsidP="00B13ECD">
            <w:pPr>
              <w:rPr>
                <w:rFonts w:ascii="Calibri" w:hAnsi="Calibri" w:cs="Calibri"/>
                <w:color w:val="000000"/>
              </w:rPr>
            </w:pPr>
            <w:r w:rsidRPr="00C53FE2">
              <w:rPr>
                <w:rFonts w:ascii="Calibri" w:hAnsi="Calibri" w:cs="Calibri"/>
                <w:color w:val="000000"/>
              </w:rPr>
              <w:t>13,062</w:t>
            </w:r>
          </w:p>
        </w:tc>
        <w:tc>
          <w:tcPr>
            <w:tcW w:w="1319" w:type="dxa"/>
            <w:shd w:val="clear" w:color="auto" w:fill="auto"/>
            <w:noWrap/>
            <w:vAlign w:val="bottom"/>
            <w:hideMark/>
          </w:tcPr>
          <w:p w14:paraId="664C108C" w14:textId="77777777" w:rsidR="00527759" w:rsidRPr="00C53FE2" w:rsidRDefault="00527759" w:rsidP="00B13ECD">
            <w:pPr>
              <w:rPr>
                <w:rFonts w:ascii="Calibri" w:hAnsi="Calibri" w:cs="Calibri"/>
                <w:color w:val="000000"/>
              </w:rPr>
            </w:pPr>
            <w:r w:rsidRPr="00C53FE2">
              <w:rPr>
                <w:rFonts w:ascii="Calibri" w:hAnsi="Calibri" w:cs="Calibri"/>
                <w:color w:val="000000"/>
              </w:rPr>
              <w:t>1.4%</w:t>
            </w:r>
          </w:p>
        </w:tc>
      </w:tr>
      <w:tr w:rsidR="00527759" w:rsidRPr="00C53FE2" w14:paraId="3B70E497" w14:textId="77777777" w:rsidTr="00B13ECD">
        <w:trPr>
          <w:trHeight w:val="280"/>
          <w:jc w:val="center"/>
        </w:trPr>
        <w:tc>
          <w:tcPr>
            <w:tcW w:w="2777" w:type="dxa"/>
            <w:shd w:val="clear" w:color="auto" w:fill="auto"/>
            <w:noWrap/>
            <w:vAlign w:val="center"/>
            <w:hideMark/>
          </w:tcPr>
          <w:p w14:paraId="6AF2B954" w14:textId="77777777" w:rsidR="00527759" w:rsidRPr="00C53FE2" w:rsidRDefault="00527759" w:rsidP="00B13ECD">
            <w:pPr>
              <w:rPr>
                <w:rFonts w:ascii="Calibri" w:hAnsi="Calibri" w:cs="Calibri"/>
                <w:b/>
                <w:bCs/>
                <w:i/>
                <w:iCs/>
                <w:color w:val="FF9900"/>
              </w:rPr>
            </w:pPr>
            <w:r w:rsidRPr="00C53FE2">
              <w:rPr>
                <w:rFonts w:ascii="Calibri" w:hAnsi="Calibri" w:cs="Calibri"/>
                <w:b/>
                <w:bCs/>
                <w:i/>
                <w:iCs/>
                <w:color w:val="FF9900"/>
              </w:rPr>
              <w:t xml:space="preserve">Taft                </w:t>
            </w:r>
          </w:p>
        </w:tc>
        <w:tc>
          <w:tcPr>
            <w:tcW w:w="1633" w:type="dxa"/>
            <w:shd w:val="clear" w:color="auto" w:fill="auto"/>
            <w:noWrap/>
            <w:vAlign w:val="center"/>
            <w:hideMark/>
          </w:tcPr>
          <w:p w14:paraId="7CBCB2D7" w14:textId="77777777" w:rsidR="00527759" w:rsidRPr="00C53FE2" w:rsidRDefault="00527759" w:rsidP="00B13ECD">
            <w:pPr>
              <w:rPr>
                <w:rFonts w:ascii="Calibri" w:hAnsi="Calibri" w:cs="Calibri"/>
                <w:b/>
                <w:bCs/>
                <w:i/>
                <w:iCs/>
                <w:color w:val="FF9900"/>
              </w:rPr>
            </w:pPr>
            <w:r w:rsidRPr="00C53FE2">
              <w:rPr>
                <w:rFonts w:ascii="Calibri" w:hAnsi="Calibri" w:cs="Calibri"/>
                <w:b/>
                <w:bCs/>
                <w:i/>
                <w:iCs/>
                <w:color w:val="FF9900"/>
              </w:rPr>
              <w:t>8,697</w:t>
            </w:r>
          </w:p>
        </w:tc>
        <w:tc>
          <w:tcPr>
            <w:tcW w:w="1319" w:type="dxa"/>
            <w:shd w:val="clear" w:color="auto" w:fill="auto"/>
            <w:noWrap/>
            <w:vAlign w:val="bottom"/>
            <w:hideMark/>
          </w:tcPr>
          <w:p w14:paraId="6E25CE86" w14:textId="77777777" w:rsidR="00527759" w:rsidRPr="00C53FE2" w:rsidRDefault="00527759" w:rsidP="00B13ECD">
            <w:pPr>
              <w:rPr>
                <w:rFonts w:ascii="Calibri" w:hAnsi="Calibri" w:cs="Calibri"/>
                <w:b/>
                <w:bCs/>
                <w:i/>
                <w:iCs/>
                <w:color w:val="FF9900"/>
              </w:rPr>
            </w:pPr>
            <w:r w:rsidRPr="00C53FE2">
              <w:rPr>
                <w:rFonts w:ascii="Calibri" w:hAnsi="Calibri" w:cs="Calibri"/>
                <w:b/>
                <w:bCs/>
                <w:i/>
                <w:iCs/>
                <w:color w:val="FF9900"/>
              </w:rPr>
              <w:t>1.0%</w:t>
            </w:r>
          </w:p>
        </w:tc>
      </w:tr>
      <w:tr w:rsidR="00527759" w:rsidRPr="00C53FE2" w14:paraId="69D06427" w14:textId="77777777" w:rsidTr="00B13ECD">
        <w:trPr>
          <w:trHeight w:val="280"/>
          <w:jc w:val="center"/>
        </w:trPr>
        <w:tc>
          <w:tcPr>
            <w:tcW w:w="2777" w:type="dxa"/>
            <w:shd w:val="clear" w:color="auto" w:fill="auto"/>
            <w:noWrap/>
            <w:vAlign w:val="center"/>
            <w:hideMark/>
          </w:tcPr>
          <w:p w14:paraId="74FE3CB5" w14:textId="77777777" w:rsidR="00527759" w:rsidRPr="00C53FE2" w:rsidRDefault="00527759" w:rsidP="00B13ECD">
            <w:pPr>
              <w:rPr>
                <w:rFonts w:ascii="Calibri" w:hAnsi="Calibri" w:cs="Calibri"/>
                <w:b/>
                <w:bCs/>
                <w:i/>
                <w:iCs/>
                <w:color w:val="FF9900"/>
              </w:rPr>
            </w:pPr>
            <w:r w:rsidRPr="00C53FE2">
              <w:rPr>
                <w:rFonts w:ascii="Calibri" w:hAnsi="Calibri" w:cs="Calibri"/>
                <w:b/>
                <w:bCs/>
                <w:i/>
                <w:iCs/>
                <w:color w:val="FF9900"/>
              </w:rPr>
              <w:t xml:space="preserve">Maricopa            </w:t>
            </w:r>
          </w:p>
        </w:tc>
        <w:tc>
          <w:tcPr>
            <w:tcW w:w="1633" w:type="dxa"/>
            <w:shd w:val="clear" w:color="auto" w:fill="auto"/>
            <w:noWrap/>
            <w:vAlign w:val="center"/>
            <w:hideMark/>
          </w:tcPr>
          <w:p w14:paraId="586BF35F" w14:textId="77777777" w:rsidR="00527759" w:rsidRPr="00C53FE2" w:rsidRDefault="00527759" w:rsidP="00B13ECD">
            <w:pPr>
              <w:rPr>
                <w:rFonts w:ascii="Calibri" w:hAnsi="Calibri" w:cs="Calibri"/>
                <w:b/>
                <w:bCs/>
                <w:i/>
                <w:iCs/>
                <w:color w:val="FF9900"/>
              </w:rPr>
            </w:pPr>
            <w:r w:rsidRPr="00C53FE2">
              <w:rPr>
                <w:rFonts w:ascii="Calibri" w:hAnsi="Calibri" w:cs="Calibri"/>
                <w:b/>
                <w:bCs/>
                <w:i/>
                <w:iCs/>
                <w:color w:val="FF9900"/>
              </w:rPr>
              <w:t>1,025</w:t>
            </w:r>
          </w:p>
        </w:tc>
        <w:tc>
          <w:tcPr>
            <w:tcW w:w="1319" w:type="dxa"/>
            <w:shd w:val="clear" w:color="auto" w:fill="auto"/>
            <w:noWrap/>
            <w:vAlign w:val="bottom"/>
            <w:hideMark/>
          </w:tcPr>
          <w:p w14:paraId="40647B06" w14:textId="77777777" w:rsidR="00527759" w:rsidRPr="00C53FE2" w:rsidRDefault="00527759" w:rsidP="00B13ECD">
            <w:pPr>
              <w:rPr>
                <w:rFonts w:ascii="Calibri" w:hAnsi="Calibri" w:cs="Calibri"/>
                <w:b/>
                <w:bCs/>
                <w:i/>
                <w:iCs/>
                <w:color w:val="FF9900"/>
              </w:rPr>
            </w:pPr>
            <w:r w:rsidRPr="00C53FE2">
              <w:rPr>
                <w:rFonts w:ascii="Calibri" w:hAnsi="Calibri" w:cs="Calibri"/>
                <w:b/>
                <w:bCs/>
                <w:i/>
                <w:iCs/>
                <w:color w:val="FF9900"/>
              </w:rPr>
              <w:t>0.1%</w:t>
            </w:r>
          </w:p>
        </w:tc>
      </w:tr>
      <w:tr w:rsidR="00527759" w:rsidRPr="00C53FE2" w14:paraId="7A2FF846" w14:textId="77777777" w:rsidTr="00B13ECD">
        <w:trPr>
          <w:trHeight w:val="280"/>
          <w:jc w:val="center"/>
        </w:trPr>
        <w:tc>
          <w:tcPr>
            <w:tcW w:w="2777" w:type="dxa"/>
            <w:shd w:val="clear" w:color="auto" w:fill="auto"/>
            <w:noWrap/>
            <w:vAlign w:val="center"/>
            <w:hideMark/>
          </w:tcPr>
          <w:p w14:paraId="7A9F173D" w14:textId="77777777" w:rsidR="00527759" w:rsidRPr="00C53FE2" w:rsidRDefault="00527759" w:rsidP="00B13ECD">
            <w:pPr>
              <w:rPr>
                <w:rFonts w:ascii="Calibri" w:hAnsi="Calibri" w:cs="Calibri"/>
                <w:color w:val="000000"/>
              </w:rPr>
            </w:pPr>
            <w:r w:rsidRPr="00C53FE2">
              <w:rPr>
                <w:rFonts w:ascii="Calibri" w:hAnsi="Calibri" w:cs="Calibri"/>
                <w:color w:val="000000"/>
              </w:rPr>
              <w:t>Total County Population</w:t>
            </w:r>
          </w:p>
        </w:tc>
        <w:tc>
          <w:tcPr>
            <w:tcW w:w="1633" w:type="dxa"/>
            <w:shd w:val="clear" w:color="auto" w:fill="auto"/>
            <w:noWrap/>
            <w:vAlign w:val="center"/>
            <w:hideMark/>
          </w:tcPr>
          <w:p w14:paraId="444B6EA7" w14:textId="77777777" w:rsidR="00527759" w:rsidRPr="00C53FE2" w:rsidRDefault="00527759" w:rsidP="00B13ECD">
            <w:pPr>
              <w:rPr>
                <w:rFonts w:ascii="Calibri" w:hAnsi="Calibri" w:cs="Calibri"/>
                <w:color w:val="000000"/>
              </w:rPr>
            </w:pPr>
            <w:r w:rsidRPr="00C53FE2">
              <w:rPr>
                <w:rFonts w:ascii="Calibri" w:hAnsi="Calibri" w:cs="Calibri"/>
                <w:color w:val="000000"/>
              </w:rPr>
              <w:t>909,235</w:t>
            </w:r>
          </w:p>
        </w:tc>
        <w:tc>
          <w:tcPr>
            <w:tcW w:w="1319" w:type="dxa"/>
            <w:shd w:val="clear" w:color="auto" w:fill="auto"/>
            <w:noWrap/>
            <w:vAlign w:val="bottom"/>
            <w:hideMark/>
          </w:tcPr>
          <w:p w14:paraId="1CE0E14D" w14:textId="77777777" w:rsidR="00527759" w:rsidRPr="00C53FE2" w:rsidRDefault="00527759" w:rsidP="00B13ECD">
            <w:pPr>
              <w:rPr>
                <w:rFonts w:ascii="Calibri" w:hAnsi="Calibri" w:cs="Calibri"/>
                <w:color w:val="000000"/>
              </w:rPr>
            </w:pPr>
            <w:r w:rsidRPr="00C53FE2">
              <w:rPr>
                <w:rFonts w:ascii="Calibri" w:hAnsi="Calibri" w:cs="Calibri"/>
                <w:color w:val="000000"/>
              </w:rPr>
              <w:t>100.0%</w:t>
            </w:r>
          </w:p>
        </w:tc>
      </w:tr>
    </w:tbl>
    <w:p w14:paraId="1D548334" w14:textId="3B5F5615" w:rsidR="00527759" w:rsidRPr="00DD49AD" w:rsidRDefault="00527759" w:rsidP="00527759">
      <w:pPr>
        <w:rPr>
          <w:rFonts w:ascii="Calibri" w:hAnsi="Calibri"/>
          <w:i/>
          <w:iCs/>
          <w:sz w:val="20"/>
          <w:szCs w:val="20"/>
        </w:rPr>
      </w:pPr>
      <w:r w:rsidRPr="00DD49AD">
        <w:rPr>
          <w:rFonts w:ascii="Calibri" w:hAnsi="Calibri"/>
          <w:i/>
          <w:iCs/>
          <w:sz w:val="20"/>
          <w:szCs w:val="20"/>
        </w:rPr>
        <w:t>Source: US Census</w:t>
      </w:r>
      <w:r w:rsidR="00A431A3">
        <w:rPr>
          <w:rFonts w:ascii="Calibri" w:hAnsi="Calibri"/>
          <w:i/>
          <w:iCs/>
          <w:sz w:val="20"/>
          <w:szCs w:val="20"/>
        </w:rPr>
        <w:t>.</w:t>
      </w:r>
    </w:p>
    <w:p w14:paraId="4E3A1969" w14:textId="77777777" w:rsidR="00527759" w:rsidRPr="00C53FE2" w:rsidRDefault="00527759" w:rsidP="00091694">
      <w:bookmarkStart w:id="174" w:name="_Toc168762731"/>
      <w:bookmarkStart w:id="175" w:name="_Toc194324231"/>
      <w:r w:rsidRPr="00C53FE2">
        <w:t>Historic Population of Kern County Incorporated Towns/Cities</w:t>
      </w:r>
      <w:bookmarkEnd w:id="174"/>
      <w:bookmarkEnd w:id="175"/>
    </w:p>
    <w:p w14:paraId="25EDC1D7" w14:textId="77777777" w:rsidR="00527759" w:rsidRPr="00C53FE2" w:rsidRDefault="00527759" w:rsidP="00527759">
      <w:pPr>
        <w:rPr>
          <w:rFonts w:ascii="Calibri" w:hAnsi="Calibri"/>
        </w:rPr>
      </w:pPr>
    </w:p>
    <w:p w14:paraId="2D320FC7" w14:textId="77777777" w:rsidR="00527759" w:rsidRPr="00C53FE2" w:rsidRDefault="00527759" w:rsidP="00527759">
      <w:pPr>
        <w:rPr>
          <w:rFonts w:ascii="Calibri" w:hAnsi="Calibri"/>
          <w:b/>
          <w:iCs/>
          <w:color w:val="ED7D31"/>
          <w:sz w:val="28"/>
          <w:szCs w:val="28"/>
        </w:rPr>
      </w:pPr>
      <w:r w:rsidRPr="00C53FE2">
        <w:rPr>
          <w:rFonts w:ascii="Calibri" w:hAnsi="Calibri"/>
          <w:b/>
          <w:iCs/>
          <w:noProof/>
          <w:color w:val="ED7D31"/>
          <w:sz w:val="28"/>
          <w:szCs w:val="28"/>
        </w:rPr>
        <w:lastRenderedPageBreak/>
        <w:drawing>
          <wp:inline distT="0" distB="0" distL="0" distR="0" wp14:anchorId="613E3A78" wp14:editId="2B55FF09">
            <wp:extent cx="5943600" cy="4451350"/>
            <wp:effectExtent l="0" t="0" r="0" b="6350"/>
            <wp:docPr id="693144521" name="Chart 1">
              <a:extLst xmlns:a="http://schemas.openxmlformats.org/drawingml/2006/main">
                <a:ext uri="{FF2B5EF4-FFF2-40B4-BE49-F238E27FC236}">
                  <a16:creationId xmlns:a16="http://schemas.microsoft.com/office/drawing/2014/main" id="{BDDFDAD0-5AD6-DC0E-4A61-0EA5446D75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4940162" w14:textId="73F66774" w:rsidR="00527759" w:rsidRPr="00DD49AD" w:rsidRDefault="00527759" w:rsidP="00527759">
      <w:pPr>
        <w:rPr>
          <w:rFonts w:ascii="Calibri" w:hAnsi="Calibri"/>
          <w:i/>
          <w:iCs/>
          <w:sz w:val="20"/>
          <w:szCs w:val="20"/>
        </w:rPr>
      </w:pPr>
      <w:r w:rsidRPr="00DD49AD">
        <w:rPr>
          <w:rFonts w:ascii="Calibri" w:hAnsi="Calibri"/>
          <w:i/>
          <w:iCs/>
          <w:sz w:val="20"/>
          <w:szCs w:val="20"/>
        </w:rPr>
        <w:t>Source: CA Department of Finance</w:t>
      </w:r>
      <w:r w:rsidR="00487D7C">
        <w:rPr>
          <w:rFonts w:ascii="Calibri" w:hAnsi="Calibri"/>
          <w:i/>
          <w:iCs/>
          <w:sz w:val="20"/>
          <w:szCs w:val="20"/>
        </w:rPr>
        <w:t>.</w:t>
      </w:r>
    </w:p>
    <w:p w14:paraId="6D06005D" w14:textId="77777777" w:rsidR="00527759" w:rsidRPr="00C53FE2" w:rsidRDefault="00527759" w:rsidP="00527759">
      <w:pPr>
        <w:rPr>
          <w:rFonts w:ascii="Calibri" w:hAnsi="Calibri"/>
        </w:rPr>
      </w:pPr>
      <w:r w:rsidRPr="00C53FE2">
        <w:rPr>
          <w:rFonts w:ascii="Calibri" w:hAnsi="Calibri"/>
        </w:rPr>
        <w:t>The population of Kern County increased dramatically in the late 1900s, with most of the growth occurring in Bakersfield, Delano, Ridgecrest, Wasco and Shafter. Maricopa shows little growth over the past century, while Taft more than doubled in size but remains the second smallest town in the county.</w:t>
      </w:r>
    </w:p>
    <w:p w14:paraId="1A48E20E" w14:textId="77777777" w:rsidR="00527759" w:rsidRPr="00C53FE2" w:rsidRDefault="00527759" w:rsidP="00527759">
      <w:pPr>
        <w:rPr>
          <w:rFonts w:ascii="Calibri" w:hAnsi="Calibri"/>
          <w:b/>
          <w:iCs/>
          <w:color w:val="ED7D31"/>
          <w:sz w:val="28"/>
          <w:szCs w:val="28"/>
        </w:rPr>
      </w:pPr>
      <w:r w:rsidRPr="00C53FE2">
        <w:rPr>
          <w:rFonts w:ascii="Calibri" w:hAnsi="Calibri"/>
          <w:b/>
          <w:iCs/>
          <w:color w:val="ED7D31"/>
          <w:sz w:val="28"/>
          <w:szCs w:val="28"/>
        </w:rPr>
        <w:br w:type="page"/>
      </w:r>
    </w:p>
    <w:p w14:paraId="7914E6B5" w14:textId="77777777" w:rsidR="00527759" w:rsidRPr="00C53FE2" w:rsidRDefault="00527759" w:rsidP="00091694">
      <w:bookmarkStart w:id="176" w:name="_Toc168762732"/>
      <w:bookmarkStart w:id="177" w:name="_Toc194324232"/>
      <w:r w:rsidRPr="00C53FE2">
        <w:lastRenderedPageBreak/>
        <w:t>Kern County Population Changes 2020-2023</w:t>
      </w:r>
      <w:bookmarkEnd w:id="176"/>
      <w:bookmarkEnd w:id="177"/>
    </w:p>
    <w:p w14:paraId="31E3B3BA" w14:textId="77777777" w:rsidR="00527759" w:rsidRPr="00C53FE2" w:rsidRDefault="00527759" w:rsidP="00527759">
      <w:pPr>
        <w:rPr>
          <w:rFonts w:ascii="Calibri" w:hAnsi="Calibri"/>
        </w:rPr>
      </w:pPr>
    </w:p>
    <w:p w14:paraId="0772B7B9" w14:textId="77777777" w:rsidR="00527759" w:rsidRDefault="00527759" w:rsidP="00527759">
      <w:pPr>
        <w:rPr>
          <w:rFonts w:ascii="Calibri" w:hAnsi="Calibri"/>
          <w:i/>
          <w:iCs/>
        </w:rPr>
      </w:pPr>
      <w:r w:rsidRPr="00C53FE2">
        <w:rPr>
          <w:rFonts w:ascii="Calibri" w:hAnsi="Calibri"/>
          <w:b/>
          <w:iCs/>
          <w:noProof/>
          <w:color w:val="ED7D31"/>
          <w:sz w:val="28"/>
          <w:szCs w:val="28"/>
        </w:rPr>
        <w:drawing>
          <wp:inline distT="0" distB="0" distL="0" distR="0" wp14:anchorId="1D25D643" wp14:editId="4F998196">
            <wp:extent cx="5943600" cy="3363595"/>
            <wp:effectExtent l="0" t="0" r="0" b="8255"/>
            <wp:docPr id="2000296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37917" name=""/>
                    <pic:cNvPicPr/>
                  </pic:nvPicPr>
                  <pic:blipFill>
                    <a:blip r:embed="rId41"/>
                    <a:stretch>
                      <a:fillRect/>
                    </a:stretch>
                  </pic:blipFill>
                  <pic:spPr>
                    <a:xfrm>
                      <a:off x="0" y="0"/>
                      <a:ext cx="5943600" cy="3363595"/>
                    </a:xfrm>
                    <a:prstGeom prst="rect">
                      <a:avLst/>
                    </a:prstGeom>
                  </pic:spPr>
                </pic:pic>
              </a:graphicData>
            </a:graphic>
          </wp:inline>
        </w:drawing>
      </w:r>
    </w:p>
    <w:p w14:paraId="1C41D83A" w14:textId="77777777" w:rsidR="00A431A3" w:rsidRPr="001D3214" w:rsidRDefault="00527759" w:rsidP="00A431A3">
      <w:pPr>
        <w:rPr>
          <w:rFonts w:ascii="Calibri" w:hAnsi="Calibri"/>
          <w:i/>
          <w:iCs/>
          <w:sz w:val="20"/>
          <w:szCs w:val="20"/>
        </w:rPr>
      </w:pPr>
      <w:r w:rsidRPr="00DD49AD">
        <w:rPr>
          <w:rFonts w:ascii="Calibri" w:hAnsi="Calibri"/>
          <w:i/>
          <w:iCs/>
          <w:sz w:val="20"/>
          <w:szCs w:val="20"/>
        </w:rPr>
        <w:t>Source: CA Department of Finance</w:t>
      </w:r>
      <w:r w:rsidR="00A431A3">
        <w:rPr>
          <w:rFonts w:ascii="Calibri" w:hAnsi="Calibri"/>
          <w:i/>
          <w:iCs/>
          <w:sz w:val="20"/>
          <w:szCs w:val="20"/>
        </w:rPr>
        <w:t>.</w:t>
      </w:r>
      <w:r w:rsidR="00A431A3">
        <w:rPr>
          <w:rFonts w:ascii="Calibri" w:hAnsi="Calibri"/>
          <w:i/>
          <w:iCs/>
          <w:sz w:val="20"/>
          <w:szCs w:val="20"/>
        </w:rPr>
        <w:br/>
      </w:r>
      <w:r w:rsidR="00A431A3" w:rsidRPr="001D3214">
        <w:rPr>
          <w:rFonts w:ascii="Calibri" w:hAnsi="Calibri"/>
          <w:i/>
          <w:iCs/>
          <w:sz w:val="20"/>
          <w:szCs w:val="20"/>
        </w:rPr>
        <w:t>Note: “Taft” does not include South Taft, Fellows, Ford City, or other unincorporated areas.</w:t>
      </w:r>
    </w:p>
    <w:p w14:paraId="0A6A2900" w14:textId="0D0C7E3B" w:rsidR="00527759" w:rsidRPr="00C53FE2" w:rsidRDefault="00527759" w:rsidP="00527759">
      <w:pPr>
        <w:rPr>
          <w:rFonts w:ascii="Calibri" w:hAnsi="Calibri"/>
        </w:rPr>
      </w:pPr>
      <w:r w:rsidRPr="00C53FE2">
        <w:rPr>
          <w:rFonts w:ascii="Calibri" w:hAnsi="Calibri"/>
        </w:rPr>
        <w:t>Both Kern County and the State of California experienced a slight population decrease from 2020-</w:t>
      </w:r>
      <w:r w:rsidR="001D3214" w:rsidRPr="00C53FE2">
        <w:rPr>
          <w:rFonts w:ascii="Calibri" w:hAnsi="Calibri"/>
        </w:rPr>
        <w:t>2023 (</w:t>
      </w:r>
      <w:r w:rsidRPr="00C53FE2">
        <w:rPr>
          <w:rFonts w:ascii="Calibri" w:hAnsi="Calibri"/>
        </w:rPr>
        <w:t>-1.5% and -.02% respectively).</w:t>
      </w:r>
    </w:p>
    <w:p w14:paraId="25B3AE22" w14:textId="77777777" w:rsidR="00527759" w:rsidRPr="00C53FE2" w:rsidRDefault="00527759" w:rsidP="00527759">
      <w:pPr>
        <w:rPr>
          <w:rFonts w:ascii="Calibri" w:hAnsi="Calibri"/>
        </w:rPr>
      </w:pPr>
      <w:r w:rsidRPr="00C53FE2">
        <w:rPr>
          <w:rFonts w:ascii="Calibri" w:hAnsi="Calibri"/>
        </w:rPr>
        <w:t>Shafter was the only town/city in Kern County that experienced significant growth between 2020 and 2023 (7.2%).</w:t>
      </w:r>
    </w:p>
    <w:p w14:paraId="4005618D" w14:textId="77777777" w:rsidR="001D3214" w:rsidRDefault="00527759" w:rsidP="00527759">
      <w:pPr>
        <w:rPr>
          <w:rFonts w:ascii="Calibri" w:hAnsi="Calibri"/>
        </w:rPr>
      </w:pPr>
      <w:r w:rsidRPr="00C53FE2">
        <w:rPr>
          <w:rFonts w:ascii="Calibri" w:hAnsi="Calibri"/>
        </w:rPr>
        <w:t xml:space="preserve">In that same time period, Taft experienced a significant decrease in population (-19/8%). </w:t>
      </w:r>
    </w:p>
    <w:p w14:paraId="29ECE111" w14:textId="77777777" w:rsidR="00527759" w:rsidRPr="00C53FE2" w:rsidRDefault="00527759" w:rsidP="00527759">
      <w:pPr>
        <w:rPr>
          <w:rFonts w:ascii="Calibri Light" w:eastAsia="DengXian Light" w:hAnsi="Calibri Light"/>
          <w:b/>
          <w:color w:val="4472C4"/>
          <w:sz w:val="24"/>
          <w:szCs w:val="26"/>
        </w:rPr>
      </w:pPr>
    </w:p>
    <w:p w14:paraId="7F8310BB" w14:textId="77777777" w:rsidR="00527759" w:rsidRPr="00C53FE2" w:rsidRDefault="00527759" w:rsidP="00091694">
      <w:bookmarkStart w:id="178" w:name="_Toc168762733"/>
      <w:bookmarkStart w:id="179" w:name="_Toc194324233"/>
      <w:r w:rsidRPr="00C53FE2">
        <w:t>Kern County Population Projections, by Ethnicity, 2020-2060</w:t>
      </w:r>
      <w:bookmarkEnd w:id="178"/>
      <w:bookmarkEnd w:id="179"/>
    </w:p>
    <w:p w14:paraId="6225C1AE" w14:textId="77777777" w:rsidR="00527759" w:rsidRPr="00C53FE2" w:rsidRDefault="00527759" w:rsidP="00527759">
      <w:pPr>
        <w:spacing w:after="0"/>
        <w:textAlignment w:val="baseline"/>
        <w:rPr>
          <w:rFonts w:ascii="Calibri" w:hAnsi="Calibri" w:cs="Calibri"/>
        </w:rPr>
      </w:pPr>
      <w:r w:rsidRPr="00C53FE2">
        <w:rPr>
          <w:rFonts w:ascii="Calibri" w:hAnsi="Calibri" w:cs="Calibri"/>
          <w:noProof/>
        </w:rPr>
        <w:drawing>
          <wp:inline distT="0" distB="0" distL="0" distR="0" wp14:anchorId="4F0D28A4" wp14:editId="46DCEA8D">
            <wp:extent cx="5194300" cy="2880173"/>
            <wp:effectExtent l="0" t="0" r="6350" b="0"/>
            <wp:docPr id="1893956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9381" name=""/>
                    <pic:cNvPicPr/>
                  </pic:nvPicPr>
                  <pic:blipFill>
                    <a:blip r:embed="rId42"/>
                    <a:stretch>
                      <a:fillRect/>
                    </a:stretch>
                  </pic:blipFill>
                  <pic:spPr>
                    <a:xfrm>
                      <a:off x="0" y="0"/>
                      <a:ext cx="5203149" cy="2885080"/>
                    </a:xfrm>
                    <a:prstGeom prst="rect">
                      <a:avLst/>
                    </a:prstGeom>
                  </pic:spPr>
                </pic:pic>
              </a:graphicData>
            </a:graphic>
          </wp:inline>
        </w:drawing>
      </w:r>
    </w:p>
    <w:p w14:paraId="5D8411D7" w14:textId="316AC0CC" w:rsidR="00527759" w:rsidRPr="00C53FE2" w:rsidRDefault="00527759" w:rsidP="00527759">
      <w:pPr>
        <w:spacing w:after="0"/>
        <w:textAlignment w:val="baseline"/>
        <w:rPr>
          <w:rFonts w:ascii="Calibri" w:hAnsi="Calibri" w:cs="Calibri"/>
          <w:i/>
          <w:iCs/>
          <w:sz w:val="20"/>
          <w:szCs w:val="20"/>
        </w:rPr>
      </w:pPr>
      <w:r w:rsidRPr="00C53FE2">
        <w:rPr>
          <w:rFonts w:ascii="Calibri" w:hAnsi="Calibri" w:cs="Calibri"/>
          <w:i/>
          <w:iCs/>
          <w:sz w:val="20"/>
          <w:szCs w:val="20"/>
        </w:rPr>
        <w:t>Source: California Department of Finance</w:t>
      </w:r>
      <w:r w:rsidR="00A431A3">
        <w:rPr>
          <w:rFonts w:ascii="Calibri" w:hAnsi="Calibri" w:cs="Calibri"/>
          <w:i/>
          <w:iCs/>
          <w:sz w:val="20"/>
          <w:szCs w:val="20"/>
        </w:rPr>
        <w:t>.</w:t>
      </w:r>
    </w:p>
    <w:p w14:paraId="2EAD58F2" w14:textId="77777777" w:rsidR="00527759" w:rsidRPr="00C53FE2" w:rsidRDefault="00527759" w:rsidP="00527759">
      <w:pPr>
        <w:spacing w:after="0"/>
        <w:jc w:val="center"/>
        <w:textAlignment w:val="baseline"/>
        <w:rPr>
          <w:rFonts w:ascii="Calibri" w:hAnsi="Calibri" w:cs="Calibri"/>
        </w:rPr>
      </w:pPr>
    </w:p>
    <w:p w14:paraId="4B3A0EB6" w14:textId="77777777" w:rsidR="00527759" w:rsidRPr="00C53FE2" w:rsidRDefault="00527759" w:rsidP="00527759">
      <w:pPr>
        <w:spacing w:after="0"/>
        <w:textAlignment w:val="baseline"/>
        <w:rPr>
          <w:rFonts w:ascii="Calibri" w:hAnsi="Calibri" w:cs="Calibri"/>
        </w:rPr>
      </w:pPr>
      <w:r w:rsidRPr="00C53FE2">
        <w:rPr>
          <w:rFonts w:ascii="Calibri" w:hAnsi="Calibri" w:cs="Calibri"/>
        </w:rPr>
        <w:t>The population of Kern County is projected to increase slightly in the next 30 years, and then slightly decrease.</w:t>
      </w:r>
    </w:p>
    <w:p w14:paraId="0D532AF2" w14:textId="77777777" w:rsidR="00527759" w:rsidRPr="00C53FE2" w:rsidRDefault="00527759" w:rsidP="00527759">
      <w:pPr>
        <w:spacing w:after="0"/>
        <w:textAlignment w:val="baseline"/>
        <w:rPr>
          <w:rFonts w:ascii="Calibri" w:hAnsi="Calibri" w:cs="Calibri"/>
        </w:rPr>
      </w:pPr>
    </w:p>
    <w:p w14:paraId="4AA33CB0" w14:textId="77777777" w:rsidR="00527759" w:rsidRPr="00C53FE2" w:rsidRDefault="00527759" w:rsidP="00527759">
      <w:pPr>
        <w:spacing w:after="0"/>
        <w:textAlignment w:val="baseline"/>
        <w:rPr>
          <w:rFonts w:ascii="Calibri" w:hAnsi="Calibri" w:cs="Calibri"/>
        </w:rPr>
      </w:pPr>
      <w:r w:rsidRPr="00C53FE2">
        <w:rPr>
          <w:rFonts w:ascii="Calibri" w:hAnsi="Calibri" w:cs="Calibri"/>
        </w:rPr>
        <w:t>The proportion of ethnic/racial groups is projected to remain the same, with Latinos in the majority, followed by Whites.</w:t>
      </w:r>
    </w:p>
    <w:p w14:paraId="735BFD4F" w14:textId="77777777" w:rsidR="00527759" w:rsidRPr="00C53FE2" w:rsidRDefault="00527759" w:rsidP="00F16EFC">
      <w:pPr>
        <w:rPr>
          <w:rFonts w:eastAsia="DengXian Light"/>
        </w:rPr>
      </w:pPr>
    </w:p>
    <w:p w14:paraId="2B11A395" w14:textId="77777777" w:rsidR="00527759" w:rsidRPr="00C53FE2" w:rsidRDefault="00527759" w:rsidP="00091694">
      <w:bookmarkStart w:id="180" w:name="_Toc168762734"/>
      <w:bookmarkStart w:id="181" w:name="_Toc194324234"/>
      <w:r w:rsidRPr="00C53FE2">
        <w:t>Kern County Population by Ethnicity, 2022</w:t>
      </w:r>
      <w:bookmarkEnd w:id="180"/>
      <w:bookmarkEnd w:id="181"/>
    </w:p>
    <w:p w14:paraId="5EBD438C" w14:textId="77777777" w:rsidR="00527759" w:rsidRPr="00C53FE2" w:rsidRDefault="00527759" w:rsidP="00F16EFC">
      <w:pPr>
        <w:rPr>
          <w:rFonts w:eastAsia="DengXian Light"/>
        </w:rPr>
      </w:pPr>
    </w:p>
    <w:p w14:paraId="1DD54973" w14:textId="77777777" w:rsidR="00527759" w:rsidRPr="00C53FE2" w:rsidRDefault="00527759" w:rsidP="00527759">
      <w:pPr>
        <w:spacing w:after="0"/>
        <w:jc w:val="center"/>
        <w:textAlignment w:val="baseline"/>
        <w:rPr>
          <w:rFonts w:ascii="Calibri" w:hAnsi="Calibri" w:cs="Calibri"/>
        </w:rPr>
      </w:pPr>
      <w:r w:rsidRPr="00C53FE2">
        <w:rPr>
          <w:rFonts w:ascii="Calibri" w:hAnsi="Calibri" w:cs="Calibri"/>
          <w:noProof/>
        </w:rPr>
        <w:drawing>
          <wp:inline distT="0" distB="0" distL="0" distR="0" wp14:anchorId="241F0E4C" wp14:editId="567442BD">
            <wp:extent cx="2894925" cy="2257947"/>
            <wp:effectExtent l="0" t="0" r="1270" b="9525"/>
            <wp:docPr id="773654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71682" name=""/>
                    <pic:cNvPicPr/>
                  </pic:nvPicPr>
                  <pic:blipFill>
                    <a:blip r:embed="rId43"/>
                    <a:stretch>
                      <a:fillRect/>
                    </a:stretch>
                  </pic:blipFill>
                  <pic:spPr>
                    <a:xfrm>
                      <a:off x="0" y="0"/>
                      <a:ext cx="2910814" cy="2270340"/>
                    </a:xfrm>
                    <a:prstGeom prst="rect">
                      <a:avLst/>
                    </a:prstGeom>
                  </pic:spPr>
                </pic:pic>
              </a:graphicData>
            </a:graphic>
          </wp:inline>
        </w:drawing>
      </w:r>
    </w:p>
    <w:p w14:paraId="1A6F705C" w14:textId="2CDE8030" w:rsidR="00527759" w:rsidRPr="00A431A3" w:rsidRDefault="00527759" w:rsidP="00A431A3">
      <w:pPr>
        <w:rPr>
          <w:i/>
          <w:iCs/>
          <w:sz w:val="20"/>
          <w:szCs w:val="20"/>
        </w:rPr>
      </w:pPr>
      <w:r w:rsidRPr="00A431A3">
        <w:rPr>
          <w:i/>
          <w:iCs/>
          <w:sz w:val="20"/>
          <w:szCs w:val="20"/>
        </w:rPr>
        <w:t>Source: US Census</w:t>
      </w:r>
      <w:r w:rsidR="00A431A3" w:rsidRPr="00A431A3">
        <w:rPr>
          <w:i/>
          <w:iCs/>
          <w:sz w:val="20"/>
          <w:szCs w:val="20"/>
        </w:rPr>
        <w:t>.</w:t>
      </w:r>
    </w:p>
    <w:p w14:paraId="40363A03" w14:textId="77777777" w:rsidR="00527759" w:rsidRPr="00C53FE2" w:rsidRDefault="00527759" w:rsidP="00527759">
      <w:pPr>
        <w:spacing w:after="0"/>
        <w:jc w:val="center"/>
        <w:textAlignment w:val="baseline"/>
        <w:rPr>
          <w:rFonts w:ascii="Calibri" w:hAnsi="Calibri" w:cs="Calibri"/>
        </w:rPr>
      </w:pPr>
    </w:p>
    <w:p w14:paraId="7B5C4E97" w14:textId="77777777" w:rsidR="00527759" w:rsidRPr="00C53FE2" w:rsidRDefault="00527759" w:rsidP="00527759">
      <w:pPr>
        <w:spacing w:after="0"/>
        <w:textAlignment w:val="baseline"/>
        <w:rPr>
          <w:rFonts w:ascii="Calibri" w:hAnsi="Calibri" w:cs="Calibri"/>
        </w:rPr>
      </w:pPr>
      <w:r w:rsidRPr="00C53FE2">
        <w:rPr>
          <w:rFonts w:ascii="Calibri" w:hAnsi="Calibri" w:cs="Calibri"/>
        </w:rPr>
        <w:t>Kern County is ethnically diverse, with a slight majority of Latino residents (56.8%), followed by White (30.4%).</w:t>
      </w:r>
    </w:p>
    <w:p w14:paraId="1F3FFE54" w14:textId="77777777" w:rsidR="00527759" w:rsidRDefault="00527759" w:rsidP="00527759">
      <w:pPr>
        <w:rPr>
          <w:rFonts w:ascii="Calibri" w:eastAsia="DengXian Light" w:hAnsi="Calibri" w:cs="Calibri"/>
          <w:b/>
          <w:bCs/>
          <w:color w:val="FF9900"/>
          <w:sz w:val="28"/>
          <w:szCs w:val="28"/>
        </w:rPr>
      </w:pPr>
      <w:bookmarkStart w:id="182" w:name="_Toc168762735"/>
      <w:r>
        <w:rPr>
          <w:rFonts w:ascii="Calibri" w:eastAsia="DengXian Light" w:hAnsi="Calibri" w:cs="Calibri"/>
          <w:b/>
          <w:bCs/>
          <w:color w:val="FF9900"/>
          <w:sz w:val="28"/>
          <w:szCs w:val="28"/>
        </w:rPr>
        <w:br w:type="page"/>
      </w:r>
    </w:p>
    <w:p w14:paraId="750C9F93" w14:textId="77777777" w:rsidR="00527759" w:rsidRPr="00C53FE2" w:rsidRDefault="00527759" w:rsidP="00091694">
      <w:bookmarkStart w:id="183" w:name="_Toc194324235"/>
      <w:r w:rsidRPr="00C53FE2">
        <w:lastRenderedPageBreak/>
        <w:t>Kern County Population Demographics Compared: Ethnicity, Nativity and Language</w:t>
      </w:r>
      <w:bookmarkEnd w:id="182"/>
      <w:bookmarkEnd w:id="183"/>
    </w:p>
    <w:p w14:paraId="0052BA0D" w14:textId="77777777" w:rsidR="00527759" w:rsidRPr="00C53FE2" w:rsidRDefault="00527759" w:rsidP="00527759">
      <w:pPr>
        <w:spacing w:after="0"/>
        <w:textAlignment w:val="baseline"/>
        <w:rPr>
          <w:rFonts w:ascii="Calibri" w:hAnsi="Calibri" w:cs="Calibri"/>
        </w:rPr>
      </w:pPr>
    </w:p>
    <w:p w14:paraId="00B82AB7" w14:textId="77777777" w:rsidR="00527759" w:rsidRPr="00C53FE2" w:rsidRDefault="00527759" w:rsidP="00527759">
      <w:pPr>
        <w:spacing w:after="0"/>
        <w:jc w:val="center"/>
        <w:textAlignment w:val="baseline"/>
        <w:rPr>
          <w:rFonts w:ascii="Calibri" w:hAnsi="Calibri" w:cs="Calibri"/>
        </w:rPr>
      </w:pPr>
      <w:r w:rsidRPr="00C53FE2">
        <w:rPr>
          <w:rFonts w:ascii="Calibri" w:hAnsi="Calibri" w:cs="Calibri"/>
          <w:noProof/>
        </w:rPr>
        <w:drawing>
          <wp:inline distT="0" distB="0" distL="0" distR="0" wp14:anchorId="4531314A" wp14:editId="0B3CBB8D">
            <wp:extent cx="5943600" cy="1702435"/>
            <wp:effectExtent l="0" t="0" r="0" b="0"/>
            <wp:docPr id="1613041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80036" name=""/>
                    <pic:cNvPicPr/>
                  </pic:nvPicPr>
                  <pic:blipFill>
                    <a:blip r:embed="rId44"/>
                    <a:stretch>
                      <a:fillRect/>
                    </a:stretch>
                  </pic:blipFill>
                  <pic:spPr>
                    <a:xfrm>
                      <a:off x="0" y="0"/>
                      <a:ext cx="5943600" cy="1702435"/>
                    </a:xfrm>
                    <a:prstGeom prst="rect">
                      <a:avLst/>
                    </a:prstGeom>
                  </pic:spPr>
                </pic:pic>
              </a:graphicData>
            </a:graphic>
          </wp:inline>
        </w:drawing>
      </w:r>
    </w:p>
    <w:p w14:paraId="344B657B" w14:textId="59B59CDB" w:rsidR="00527759" w:rsidRPr="00C53FE2" w:rsidRDefault="00A431A3" w:rsidP="00DD49AD">
      <w:pPr>
        <w:spacing w:after="0"/>
        <w:textAlignment w:val="baseline"/>
        <w:rPr>
          <w:rFonts w:ascii="Calibri" w:hAnsi="Calibri" w:cs="Calibri"/>
          <w:color w:val="2F5496"/>
        </w:rPr>
      </w:pPr>
      <w:r>
        <w:rPr>
          <w:rFonts w:ascii="Calibri" w:hAnsi="Calibri"/>
          <w:i/>
          <w:iCs/>
          <w:sz w:val="20"/>
          <w:szCs w:val="20"/>
        </w:rPr>
        <w:br/>
      </w:r>
      <w:r w:rsidR="00527759" w:rsidRPr="00C53FE2">
        <w:rPr>
          <w:rFonts w:ascii="Calibri" w:hAnsi="Calibri"/>
          <w:i/>
          <w:iCs/>
          <w:sz w:val="20"/>
          <w:szCs w:val="20"/>
        </w:rPr>
        <w:t>Source: US Census</w:t>
      </w:r>
      <w:r>
        <w:rPr>
          <w:rFonts w:ascii="Calibri" w:hAnsi="Calibri"/>
          <w:i/>
          <w:iCs/>
          <w:sz w:val="20"/>
          <w:szCs w:val="20"/>
        </w:rPr>
        <w:t>.</w:t>
      </w:r>
    </w:p>
    <w:p w14:paraId="4B80EDF8" w14:textId="77777777" w:rsidR="00527759" w:rsidRPr="00C53FE2" w:rsidRDefault="00527759" w:rsidP="00527759">
      <w:pPr>
        <w:ind w:left="720" w:firstLine="720"/>
        <w:contextualSpacing/>
        <w:rPr>
          <w:rFonts w:ascii="Calibri" w:hAnsi="Calibri"/>
          <w:i/>
          <w:iCs/>
          <w:sz w:val="20"/>
          <w:szCs w:val="20"/>
        </w:rPr>
      </w:pPr>
    </w:p>
    <w:p w14:paraId="2C3630CA" w14:textId="742A4291" w:rsidR="00527759" w:rsidRPr="00C53FE2" w:rsidRDefault="00527759" w:rsidP="00527759">
      <w:pPr>
        <w:contextualSpacing/>
        <w:rPr>
          <w:rFonts w:ascii="Calibri" w:hAnsi="Calibri"/>
        </w:rPr>
      </w:pPr>
      <w:r w:rsidRPr="00C53FE2">
        <w:rPr>
          <w:rFonts w:ascii="Calibri" w:hAnsi="Calibri"/>
        </w:rPr>
        <w:t>Kern County is more ethnically diverse (non-White) than West Kern County or Taft.</w:t>
      </w:r>
    </w:p>
    <w:p w14:paraId="35FA8C3A" w14:textId="77777777" w:rsidR="00527759" w:rsidRPr="00C53FE2" w:rsidRDefault="00527759" w:rsidP="00527759">
      <w:pPr>
        <w:contextualSpacing/>
        <w:rPr>
          <w:rFonts w:ascii="Calibri" w:hAnsi="Calibri"/>
        </w:rPr>
      </w:pPr>
    </w:p>
    <w:p w14:paraId="67E2548D" w14:textId="77777777" w:rsidR="00527759" w:rsidRPr="00C53FE2" w:rsidRDefault="00527759" w:rsidP="00527759">
      <w:pPr>
        <w:contextualSpacing/>
        <w:rPr>
          <w:rFonts w:ascii="Calibri" w:hAnsi="Calibri"/>
        </w:rPr>
      </w:pPr>
      <w:r w:rsidRPr="00C53FE2">
        <w:rPr>
          <w:rFonts w:ascii="Calibri" w:hAnsi="Calibri"/>
        </w:rPr>
        <w:t>The proportion of foreign-born persons is higher in Kern County than in West Kern, or Taft.</w:t>
      </w:r>
    </w:p>
    <w:p w14:paraId="70D28A00" w14:textId="77777777" w:rsidR="00527759" w:rsidRPr="00C53FE2" w:rsidRDefault="00527759" w:rsidP="00527759">
      <w:pPr>
        <w:contextualSpacing/>
        <w:rPr>
          <w:rFonts w:ascii="Calibri" w:hAnsi="Calibri"/>
        </w:rPr>
      </w:pPr>
    </w:p>
    <w:p w14:paraId="5805079A" w14:textId="77777777" w:rsidR="00527759" w:rsidRPr="00C53FE2" w:rsidRDefault="00527759" w:rsidP="00527759">
      <w:pPr>
        <w:contextualSpacing/>
        <w:rPr>
          <w:rFonts w:ascii="Calibri" w:hAnsi="Calibri"/>
        </w:rPr>
      </w:pPr>
      <w:r w:rsidRPr="00C53FE2">
        <w:rPr>
          <w:rFonts w:ascii="Calibri" w:hAnsi="Calibri"/>
        </w:rPr>
        <w:t>One-fifth (20.7%) of residents of Taft speak a language other than English at home; this rate is lower than the county average of 44.8%.</w:t>
      </w:r>
    </w:p>
    <w:p w14:paraId="54018479" w14:textId="77777777" w:rsidR="00527759" w:rsidRPr="00C53FE2" w:rsidRDefault="00527759" w:rsidP="00527759">
      <w:pPr>
        <w:contextualSpacing/>
        <w:rPr>
          <w:rFonts w:ascii="Calibri" w:hAnsi="Calibri"/>
        </w:rPr>
      </w:pPr>
    </w:p>
    <w:p w14:paraId="5943F484" w14:textId="77777777" w:rsidR="00527759" w:rsidRPr="00C53FE2" w:rsidRDefault="00527759" w:rsidP="00091694">
      <w:bookmarkStart w:id="184" w:name="_Toc168762736"/>
      <w:bookmarkStart w:id="185" w:name="_Toc194324236"/>
      <w:r w:rsidRPr="00C53FE2">
        <w:t>Kern County Population Demographics Compared: Age, Socioeconomic Status</w:t>
      </w:r>
      <w:bookmarkEnd w:id="184"/>
      <w:bookmarkEnd w:id="185"/>
    </w:p>
    <w:p w14:paraId="1F084EA3" w14:textId="77777777" w:rsidR="00527759" w:rsidRPr="00C53FE2" w:rsidRDefault="00527759" w:rsidP="00527759">
      <w:pPr>
        <w:jc w:val="center"/>
        <w:rPr>
          <w:rFonts w:ascii="Calibri" w:hAnsi="Calibri"/>
          <w:i/>
          <w:iCs/>
          <w:sz w:val="20"/>
          <w:szCs w:val="20"/>
        </w:rPr>
      </w:pPr>
      <w:r w:rsidRPr="00C53FE2">
        <w:rPr>
          <w:rFonts w:ascii="Calibri" w:hAnsi="Calibri"/>
          <w:noProof/>
        </w:rPr>
        <w:drawing>
          <wp:inline distT="0" distB="0" distL="0" distR="0" wp14:anchorId="33F3D7A1" wp14:editId="2CA4194D">
            <wp:extent cx="5202519" cy="1971510"/>
            <wp:effectExtent l="0" t="0" r="0" b="0"/>
            <wp:docPr id="1875731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5154" name=""/>
                    <pic:cNvPicPr/>
                  </pic:nvPicPr>
                  <pic:blipFill>
                    <a:blip r:embed="rId45"/>
                    <a:stretch>
                      <a:fillRect/>
                    </a:stretch>
                  </pic:blipFill>
                  <pic:spPr>
                    <a:xfrm>
                      <a:off x="0" y="0"/>
                      <a:ext cx="5216917" cy="1976966"/>
                    </a:xfrm>
                    <a:prstGeom prst="rect">
                      <a:avLst/>
                    </a:prstGeom>
                  </pic:spPr>
                </pic:pic>
              </a:graphicData>
            </a:graphic>
          </wp:inline>
        </w:drawing>
      </w:r>
    </w:p>
    <w:p w14:paraId="1CBD7F29" w14:textId="274F590C" w:rsidR="00527759" w:rsidRPr="00C53FE2" w:rsidRDefault="00527759" w:rsidP="00DD49AD">
      <w:pPr>
        <w:rPr>
          <w:rFonts w:ascii="Calibri" w:hAnsi="Calibri"/>
        </w:rPr>
      </w:pPr>
      <w:r w:rsidRPr="00C53FE2">
        <w:rPr>
          <w:rFonts w:ascii="Calibri" w:hAnsi="Calibri"/>
          <w:i/>
          <w:iCs/>
          <w:sz w:val="20"/>
          <w:szCs w:val="20"/>
        </w:rPr>
        <w:t>Source: US Census</w:t>
      </w:r>
      <w:r w:rsidR="00A431A3">
        <w:rPr>
          <w:rFonts w:ascii="Calibri" w:hAnsi="Calibri"/>
          <w:i/>
          <w:iCs/>
          <w:sz w:val="20"/>
          <w:szCs w:val="20"/>
        </w:rPr>
        <w:t>.</w:t>
      </w:r>
    </w:p>
    <w:p w14:paraId="2CC4075C" w14:textId="77777777" w:rsidR="00527759" w:rsidRPr="00C53FE2" w:rsidRDefault="00527759" w:rsidP="00527759">
      <w:pPr>
        <w:spacing w:after="0"/>
        <w:contextualSpacing/>
        <w:rPr>
          <w:rFonts w:ascii="Calibri" w:hAnsi="Calibri"/>
        </w:rPr>
      </w:pPr>
      <w:r w:rsidRPr="00C53FE2">
        <w:rPr>
          <w:rFonts w:ascii="Calibri" w:hAnsi="Calibri"/>
        </w:rPr>
        <w:t>Overall, the population of Taft and of West Kern County show lower levels of socioeconomic status compared to the state and the nation.</w:t>
      </w:r>
    </w:p>
    <w:p w14:paraId="775B287D" w14:textId="77777777" w:rsidR="00527759" w:rsidRPr="00C53FE2" w:rsidRDefault="00527759" w:rsidP="00527759">
      <w:pPr>
        <w:spacing w:after="0"/>
        <w:contextualSpacing/>
        <w:rPr>
          <w:rFonts w:ascii="Calibri" w:hAnsi="Calibri"/>
        </w:rPr>
      </w:pPr>
    </w:p>
    <w:p w14:paraId="7F2D3BF7" w14:textId="1448994F" w:rsidR="00527759" w:rsidRPr="00C53FE2" w:rsidRDefault="00527759" w:rsidP="00527759">
      <w:pPr>
        <w:spacing w:after="0"/>
        <w:contextualSpacing/>
        <w:rPr>
          <w:rFonts w:ascii="Calibri" w:hAnsi="Calibri"/>
        </w:rPr>
      </w:pPr>
      <w:r w:rsidRPr="00C53FE2">
        <w:rPr>
          <w:rFonts w:ascii="Calibri" w:hAnsi="Calibri"/>
        </w:rPr>
        <w:t>The population of Taft is older on average than the population of West Kern County, Kern County</w:t>
      </w:r>
      <w:r w:rsidR="00DD49AD">
        <w:rPr>
          <w:rFonts w:ascii="Calibri" w:hAnsi="Calibri"/>
        </w:rPr>
        <w:t>,</w:t>
      </w:r>
      <w:r w:rsidRPr="00C53FE2">
        <w:rPr>
          <w:rFonts w:ascii="Calibri" w:hAnsi="Calibri"/>
        </w:rPr>
        <w:t xml:space="preserve"> and California.</w:t>
      </w:r>
    </w:p>
    <w:p w14:paraId="05627CFA" w14:textId="77777777" w:rsidR="00527759" w:rsidRPr="00C53FE2" w:rsidRDefault="00527759" w:rsidP="00527759">
      <w:pPr>
        <w:spacing w:after="0"/>
        <w:contextualSpacing/>
        <w:rPr>
          <w:rFonts w:ascii="Calibri" w:hAnsi="Calibri"/>
        </w:rPr>
      </w:pPr>
    </w:p>
    <w:p w14:paraId="2E613B3E" w14:textId="402E1D14" w:rsidR="00527759" w:rsidRPr="00C53FE2" w:rsidRDefault="00527759" w:rsidP="00527759">
      <w:pPr>
        <w:spacing w:after="0"/>
        <w:contextualSpacing/>
        <w:rPr>
          <w:rFonts w:ascii="Calibri" w:hAnsi="Calibri"/>
        </w:rPr>
      </w:pPr>
      <w:r w:rsidRPr="00C53FE2">
        <w:rPr>
          <w:rFonts w:ascii="Calibri" w:hAnsi="Calibri"/>
        </w:rPr>
        <w:t>Taft residents are much more likely to have a disability and less likely to have broadband internet at home than West Kern County, Kern County, or State residents.</w:t>
      </w:r>
    </w:p>
    <w:p w14:paraId="632A8ABE" w14:textId="77777777" w:rsidR="00527759" w:rsidRPr="00C53FE2" w:rsidRDefault="00527759" w:rsidP="00527759">
      <w:pPr>
        <w:spacing w:after="0"/>
        <w:contextualSpacing/>
        <w:rPr>
          <w:rFonts w:ascii="Calibri" w:hAnsi="Calibri"/>
        </w:rPr>
      </w:pPr>
    </w:p>
    <w:p w14:paraId="72199754" w14:textId="731B6604" w:rsidR="00527759" w:rsidRPr="00C53FE2" w:rsidRDefault="00527759" w:rsidP="00527759">
      <w:pPr>
        <w:spacing w:after="0"/>
        <w:contextualSpacing/>
        <w:rPr>
          <w:rFonts w:ascii="Calibri" w:hAnsi="Calibri"/>
        </w:rPr>
      </w:pPr>
      <w:r w:rsidRPr="001D3214">
        <w:rPr>
          <w:rFonts w:ascii="Calibri" w:hAnsi="Calibri"/>
        </w:rPr>
        <w:t>Taft residents and West Kern County residents have a lower per capita income</w:t>
      </w:r>
      <w:r w:rsidR="001D3214" w:rsidRPr="001D3214">
        <w:rPr>
          <w:rFonts w:ascii="Calibri" w:hAnsi="Calibri"/>
        </w:rPr>
        <w:t xml:space="preserve">, </w:t>
      </w:r>
      <w:r w:rsidRPr="001D3214">
        <w:rPr>
          <w:rFonts w:ascii="Calibri" w:hAnsi="Calibri"/>
        </w:rPr>
        <w:t>higher poverty rate</w:t>
      </w:r>
      <w:r w:rsidR="001D3214" w:rsidRPr="001D3214">
        <w:rPr>
          <w:rFonts w:ascii="Calibri" w:hAnsi="Calibri"/>
        </w:rPr>
        <w:t xml:space="preserve">, and lower employment rate </w:t>
      </w:r>
      <w:r w:rsidRPr="001D3214">
        <w:rPr>
          <w:rFonts w:ascii="Calibri" w:hAnsi="Calibri"/>
        </w:rPr>
        <w:t>than the county, state</w:t>
      </w:r>
      <w:r w:rsidR="00DD49AD" w:rsidRPr="001D3214">
        <w:rPr>
          <w:rFonts w:ascii="Calibri" w:hAnsi="Calibri"/>
        </w:rPr>
        <w:t>,</w:t>
      </w:r>
      <w:r w:rsidRPr="001D3214">
        <w:rPr>
          <w:rFonts w:ascii="Calibri" w:hAnsi="Calibri"/>
        </w:rPr>
        <w:t xml:space="preserve"> or nation.</w:t>
      </w:r>
    </w:p>
    <w:p w14:paraId="5ACF5877" w14:textId="77777777" w:rsidR="00527759" w:rsidRPr="00C53FE2" w:rsidRDefault="00527759" w:rsidP="00091694">
      <w:bookmarkStart w:id="186" w:name="_Toc168762737"/>
      <w:bookmarkStart w:id="187" w:name="_Toc194324237"/>
      <w:r w:rsidRPr="00C53FE2">
        <w:t>Kern County Educational Attainment, Persons aged 25+, 2020</w:t>
      </w:r>
      <w:bookmarkEnd w:id="186"/>
      <w:bookmarkEnd w:id="187"/>
    </w:p>
    <w:p w14:paraId="5F81BD3F" w14:textId="77777777" w:rsidR="00527759" w:rsidRPr="00C53FE2" w:rsidRDefault="00527759" w:rsidP="00527759">
      <w:pPr>
        <w:jc w:val="center"/>
        <w:rPr>
          <w:rFonts w:ascii="Calibri" w:hAnsi="Calibri"/>
          <w:i/>
          <w:iCs/>
          <w:sz w:val="20"/>
          <w:szCs w:val="20"/>
        </w:rPr>
      </w:pPr>
      <w:r w:rsidRPr="00C53FE2">
        <w:rPr>
          <w:rFonts w:ascii="Calibri" w:hAnsi="Calibri"/>
          <w:i/>
          <w:iCs/>
          <w:noProof/>
          <w:sz w:val="20"/>
          <w:szCs w:val="20"/>
        </w:rPr>
        <w:lastRenderedPageBreak/>
        <w:drawing>
          <wp:inline distT="0" distB="0" distL="0" distR="0" wp14:anchorId="2E6B6256" wp14:editId="76BC4585">
            <wp:extent cx="4637914" cy="2607398"/>
            <wp:effectExtent l="0" t="0" r="0" b="0"/>
            <wp:docPr id="1943432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20875" name=""/>
                    <pic:cNvPicPr/>
                  </pic:nvPicPr>
                  <pic:blipFill>
                    <a:blip r:embed="rId46"/>
                    <a:stretch>
                      <a:fillRect/>
                    </a:stretch>
                  </pic:blipFill>
                  <pic:spPr>
                    <a:xfrm>
                      <a:off x="0" y="0"/>
                      <a:ext cx="4663733" cy="2621913"/>
                    </a:xfrm>
                    <a:prstGeom prst="rect">
                      <a:avLst/>
                    </a:prstGeom>
                  </pic:spPr>
                </pic:pic>
              </a:graphicData>
            </a:graphic>
          </wp:inline>
        </w:drawing>
      </w:r>
    </w:p>
    <w:p w14:paraId="0F4608EF" w14:textId="70ECE9C1" w:rsidR="00527759" w:rsidRPr="00C53FE2" w:rsidRDefault="00527759" w:rsidP="00527759">
      <w:pPr>
        <w:rPr>
          <w:rFonts w:ascii="Calibri" w:hAnsi="Calibri"/>
        </w:rPr>
      </w:pPr>
      <w:r w:rsidRPr="00C53FE2">
        <w:rPr>
          <w:rFonts w:ascii="Calibri" w:hAnsi="Calibri"/>
        </w:rPr>
        <w:t xml:space="preserve">Kern County, West Kern County, and Taft </w:t>
      </w:r>
      <w:r w:rsidR="00EA7F84">
        <w:rPr>
          <w:rFonts w:ascii="Calibri" w:hAnsi="Calibri"/>
        </w:rPr>
        <w:t>have lower educational attainment levels</w:t>
      </w:r>
      <w:r w:rsidRPr="00C53FE2">
        <w:rPr>
          <w:rFonts w:ascii="Calibri" w:hAnsi="Calibri"/>
        </w:rPr>
        <w:t xml:space="preserve"> than the state or the nation.</w:t>
      </w:r>
    </w:p>
    <w:p w14:paraId="0CD173A5" w14:textId="77777777" w:rsidR="00527759" w:rsidRPr="00C53FE2" w:rsidRDefault="00527759" w:rsidP="00527759">
      <w:pPr>
        <w:rPr>
          <w:rFonts w:ascii="Calibri" w:hAnsi="Calibri"/>
        </w:rPr>
      </w:pPr>
      <w:r w:rsidRPr="00C53FE2">
        <w:rPr>
          <w:rFonts w:ascii="Calibri" w:hAnsi="Calibri"/>
        </w:rPr>
        <w:t>Of all these areas, Taft shows the lowest educational attainment levels. Those with less than an Associate Degree:</w:t>
      </w:r>
    </w:p>
    <w:p w14:paraId="5A4E4AF8" w14:textId="77777777" w:rsidR="00527759" w:rsidRPr="00C53FE2" w:rsidRDefault="00527759" w:rsidP="005761F9">
      <w:pPr>
        <w:numPr>
          <w:ilvl w:val="0"/>
          <w:numId w:val="23"/>
        </w:numPr>
        <w:spacing w:after="0"/>
        <w:rPr>
          <w:rFonts w:ascii="Calibri" w:hAnsi="Calibri"/>
        </w:rPr>
      </w:pPr>
      <w:r w:rsidRPr="00C53FE2">
        <w:rPr>
          <w:rFonts w:ascii="Calibri" w:hAnsi="Calibri"/>
        </w:rPr>
        <w:t xml:space="preserve">Taft </w:t>
      </w:r>
      <w:r w:rsidRPr="00C53FE2">
        <w:rPr>
          <w:rFonts w:ascii="Calibri" w:hAnsi="Calibri"/>
        </w:rPr>
        <w:tab/>
      </w:r>
      <w:r w:rsidRPr="00C53FE2">
        <w:rPr>
          <w:rFonts w:ascii="Calibri" w:hAnsi="Calibri"/>
        </w:rPr>
        <w:tab/>
      </w:r>
      <w:r w:rsidRPr="00C53FE2">
        <w:rPr>
          <w:rFonts w:ascii="Calibri" w:hAnsi="Calibri"/>
        </w:rPr>
        <w:tab/>
        <w:t>84.7%</w:t>
      </w:r>
    </w:p>
    <w:p w14:paraId="089EF79F" w14:textId="77777777" w:rsidR="00527759" w:rsidRPr="00C53FE2" w:rsidRDefault="00527759" w:rsidP="005761F9">
      <w:pPr>
        <w:numPr>
          <w:ilvl w:val="0"/>
          <w:numId w:val="23"/>
        </w:numPr>
        <w:spacing w:after="0"/>
        <w:rPr>
          <w:rFonts w:ascii="Calibri" w:hAnsi="Calibri"/>
        </w:rPr>
      </w:pPr>
      <w:r w:rsidRPr="00C53FE2">
        <w:rPr>
          <w:rFonts w:ascii="Calibri" w:hAnsi="Calibri"/>
        </w:rPr>
        <w:t>West Kern County</w:t>
      </w:r>
      <w:r w:rsidRPr="00C53FE2">
        <w:rPr>
          <w:rFonts w:ascii="Calibri" w:hAnsi="Calibri"/>
        </w:rPr>
        <w:tab/>
        <w:t>78.0%</w:t>
      </w:r>
    </w:p>
    <w:p w14:paraId="558E34F9" w14:textId="77777777" w:rsidR="00527759" w:rsidRPr="00C53FE2" w:rsidRDefault="00527759" w:rsidP="005761F9">
      <w:pPr>
        <w:numPr>
          <w:ilvl w:val="0"/>
          <w:numId w:val="23"/>
        </w:numPr>
        <w:spacing w:after="0"/>
        <w:rPr>
          <w:rFonts w:ascii="Calibri" w:hAnsi="Calibri"/>
        </w:rPr>
      </w:pPr>
      <w:r w:rsidRPr="00C53FE2">
        <w:rPr>
          <w:rFonts w:ascii="Calibri" w:hAnsi="Calibri"/>
        </w:rPr>
        <w:t>Kern County</w:t>
      </w:r>
      <w:r w:rsidRPr="00C53FE2">
        <w:rPr>
          <w:rFonts w:ascii="Calibri" w:hAnsi="Calibri"/>
        </w:rPr>
        <w:tab/>
      </w:r>
      <w:r w:rsidRPr="00C53FE2">
        <w:rPr>
          <w:rFonts w:ascii="Calibri" w:hAnsi="Calibri"/>
        </w:rPr>
        <w:tab/>
        <w:t>73.2%</w:t>
      </w:r>
    </w:p>
    <w:p w14:paraId="4B9326B9" w14:textId="77777777" w:rsidR="00527759" w:rsidRPr="00C53FE2" w:rsidRDefault="00527759" w:rsidP="005761F9">
      <w:pPr>
        <w:numPr>
          <w:ilvl w:val="0"/>
          <w:numId w:val="23"/>
        </w:numPr>
        <w:spacing w:after="0"/>
        <w:rPr>
          <w:rFonts w:ascii="Calibri" w:hAnsi="Calibri"/>
        </w:rPr>
      </w:pPr>
      <w:r w:rsidRPr="00C53FE2">
        <w:rPr>
          <w:rFonts w:ascii="Calibri" w:hAnsi="Calibri"/>
        </w:rPr>
        <w:t>California</w:t>
      </w:r>
      <w:r w:rsidRPr="00C53FE2">
        <w:rPr>
          <w:rFonts w:ascii="Calibri" w:hAnsi="Calibri"/>
        </w:rPr>
        <w:tab/>
      </w:r>
      <w:r w:rsidRPr="00C53FE2">
        <w:rPr>
          <w:rFonts w:ascii="Calibri" w:hAnsi="Calibri"/>
        </w:rPr>
        <w:tab/>
        <w:t>55.2%</w:t>
      </w:r>
    </w:p>
    <w:p w14:paraId="6741611E" w14:textId="77777777" w:rsidR="00527759" w:rsidRPr="00C53FE2" w:rsidRDefault="00527759" w:rsidP="005761F9">
      <w:pPr>
        <w:numPr>
          <w:ilvl w:val="0"/>
          <w:numId w:val="23"/>
        </w:numPr>
        <w:spacing w:after="0"/>
        <w:rPr>
          <w:rFonts w:ascii="Calibri" w:hAnsi="Calibri"/>
        </w:rPr>
      </w:pPr>
      <w:r w:rsidRPr="00C53FE2">
        <w:rPr>
          <w:rFonts w:ascii="Calibri" w:hAnsi="Calibri"/>
        </w:rPr>
        <w:t>United States</w:t>
      </w:r>
      <w:r w:rsidRPr="00C53FE2">
        <w:rPr>
          <w:rFonts w:ascii="Calibri" w:hAnsi="Calibri"/>
        </w:rPr>
        <w:tab/>
      </w:r>
      <w:r w:rsidRPr="00C53FE2">
        <w:rPr>
          <w:rFonts w:ascii="Calibri" w:hAnsi="Calibri"/>
        </w:rPr>
        <w:tab/>
        <w:t>55.6%</w:t>
      </w:r>
    </w:p>
    <w:p w14:paraId="7633C3F6" w14:textId="77777777" w:rsidR="00EA7F84" w:rsidRDefault="00EA7F84" w:rsidP="00527759">
      <w:pPr>
        <w:spacing w:after="0"/>
        <w:rPr>
          <w:rFonts w:ascii="Calibri" w:hAnsi="Calibri"/>
          <w:i/>
          <w:iCs/>
          <w:sz w:val="20"/>
          <w:szCs w:val="20"/>
        </w:rPr>
      </w:pPr>
    </w:p>
    <w:p w14:paraId="5237BAE7" w14:textId="08C48520" w:rsidR="00527759" w:rsidRPr="00EA7F84" w:rsidRDefault="00527759" w:rsidP="00527759">
      <w:pPr>
        <w:spacing w:after="0"/>
        <w:rPr>
          <w:rFonts w:ascii="Calibri" w:hAnsi="Calibri"/>
          <w:i/>
          <w:iCs/>
          <w:sz w:val="20"/>
          <w:szCs w:val="20"/>
        </w:rPr>
      </w:pPr>
      <w:r w:rsidRPr="00EA7F84">
        <w:rPr>
          <w:rFonts w:ascii="Calibri" w:hAnsi="Calibri"/>
          <w:i/>
          <w:iCs/>
          <w:sz w:val="20"/>
          <w:szCs w:val="20"/>
        </w:rPr>
        <w:t>Note: “Some College” can include certificate earners</w:t>
      </w:r>
      <w:r w:rsidR="00885196" w:rsidRPr="00EA7F84">
        <w:rPr>
          <w:rFonts w:ascii="Calibri" w:hAnsi="Calibri"/>
          <w:i/>
          <w:iCs/>
          <w:sz w:val="20"/>
          <w:szCs w:val="20"/>
        </w:rPr>
        <w:t>.</w:t>
      </w:r>
    </w:p>
    <w:p w14:paraId="7E75D109" w14:textId="77777777" w:rsidR="00527759" w:rsidRDefault="00527759" w:rsidP="00527759">
      <w:pPr>
        <w:pStyle w:val="Heading2"/>
      </w:pPr>
      <w:bookmarkStart w:id="188" w:name="_Toc194931266"/>
      <w:bookmarkStart w:id="189" w:name="_Toc194931591"/>
      <w:bookmarkStart w:id="190" w:name="_Toc168762738"/>
      <w:r>
        <w:t>Kern County K-12 Trends</w:t>
      </w:r>
      <w:bookmarkEnd w:id="188"/>
      <w:bookmarkEnd w:id="189"/>
    </w:p>
    <w:p w14:paraId="08E134DE" w14:textId="77777777" w:rsidR="00527759" w:rsidRPr="00C53FE2" w:rsidRDefault="00527759" w:rsidP="00091694">
      <w:bookmarkStart w:id="191" w:name="_Toc194324239"/>
      <w:r w:rsidRPr="00C53FE2">
        <w:t>Kern County K-12 Enrollment Trends</w:t>
      </w:r>
      <w:bookmarkEnd w:id="190"/>
      <w:bookmarkEnd w:id="191"/>
    </w:p>
    <w:p w14:paraId="42B5E005" w14:textId="77777777" w:rsidR="00527759" w:rsidRPr="00C53FE2" w:rsidRDefault="00527759" w:rsidP="00527759">
      <w:pPr>
        <w:rPr>
          <w:rFonts w:ascii="Calibri" w:hAnsi="Calibri"/>
          <w:i/>
          <w:iCs/>
          <w:sz w:val="20"/>
          <w:szCs w:val="20"/>
        </w:rPr>
      </w:pPr>
      <w:r w:rsidRPr="00C53FE2">
        <w:rPr>
          <w:rFonts w:ascii="Calibri" w:hAnsi="Calibri"/>
          <w:i/>
          <w:iCs/>
          <w:noProof/>
          <w:sz w:val="20"/>
          <w:szCs w:val="20"/>
        </w:rPr>
        <w:drawing>
          <wp:inline distT="0" distB="0" distL="0" distR="0" wp14:anchorId="1913E0FD" wp14:editId="2AAB1AD6">
            <wp:extent cx="5943600" cy="1858645"/>
            <wp:effectExtent l="0" t="0" r="0" b="8255"/>
            <wp:docPr id="640206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03110" name=""/>
                    <pic:cNvPicPr/>
                  </pic:nvPicPr>
                  <pic:blipFill>
                    <a:blip r:embed="rId47"/>
                    <a:stretch>
                      <a:fillRect/>
                    </a:stretch>
                  </pic:blipFill>
                  <pic:spPr>
                    <a:xfrm>
                      <a:off x="0" y="0"/>
                      <a:ext cx="5943600" cy="1858645"/>
                    </a:xfrm>
                    <a:prstGeom prst="rect">
                      <a:avLst/>
                    </a:prstGeom>
                  </pic:spPr>
                </pic:pic>
              </a:graphicData>
            </a:graphic>
          </wp:inline>
        </w:drawing>
      </w:r>
    </w:p>
    <w:p w14:paraId="1F15ADCE" w14:textId="4E95EA49" w:rsidR="00CB2591" w:rsidRDefault="00CB2591" w:rsidP="00527759">
      <w:pPr>
        <w:rPr>
          <w:rFonts w:ascii="Calibri" w:hAnsi="Calibri"/>
        </w:rPr>
      </w:pPr>
      <w:r w:rsidRPr="00885196">
        <w:rPr>
          <w:rFonts w:ascii="Calibri" w:hAnsi="Calibri"/>
          <w:i/>
          <w:iCs/>
          <w:sz w:val="20"/>
          <w:szCs w:val="20"/>
        </w:rPr>
        <w:t xml:space="preserve">Source: CDE </w:t>
      </w:r>
      <w:proofErr w:type="spellStart"/>
      <w:r w:rsidRPr="00885196">
        <w:rPr>
          <w:rFonts w:ascii="Calibri" w:hAnsi="Calibri"/>
          <w:i/>
          <w:iCs/>
          <w:sz w:val="20"/>
          <w:szCs w:val="20"/>
        </w:rPr>
        <w:t>DataQuest</w:t>
      </w:r>
      <w:proofErr w:type="spellEnd"/>
      <w:r>
        <w:rPr>
          <w:rFonts w:ascii="Calibri" w:hAnsi="Calibri"/>
          <w:i/>
          <w:iCs/>
          <w:sz w:val="20"/>
          <w:szCs w:val="20"/>
        </w:rPr>
        <w:t>.</w:t>
      </w:r>
    </w:p>
    <w:p w14:paraId="56600292" w14:textId="1C12FA36" w:rsidR="00527759" w:rsidRPr="00C53FE2" w:rsidRDefault="00527759" w:rsidP="00527759">
      <w:pPr>
        <w:rPr>
          <w:rFonts w:ascii="Calibri" w:hAnsi="Calibri"/>
        </w:rPr>
      </w:pPr>
      <w:r w:rsidRPr="00C53FE2">
        <w:rPr>
          <w:rFonts w:ascii="Calibri" w:hAnsi="Calibri"/>
        </w:rPr>
        <w:t xml:space="preserve">Enrollment in County public schools </w:t>
      </w:r>
      <w:r w:rsidRPr="00C53FE2">
        <w:rPr>
          <w:rFonts w:ascii="Calibri" w:hAnsi="Calibri"/>
          <w:b/>
          <w:bCs/>
          <w:i/>
          <w:iCs/>
        </w:rPr>
        <w:t>increased</w:t>
      </w:r>
      <w:r w:rsidRPr="00C53FE2">
        <w:rPr>
          <w:rFonts w:ascii="Calibri" w:hAnsi="Calibri"/>
        </w:rPr>
        <w:t xml:space="preserve"> 6% from 2016-2017 to 2022-2023, from 18,236 to 197,042 with the growth coming primarily from Latino students.</w:t>
      </w:r>
    </w:p>
    <w:p w14:paraId="3C4F8450" w14:textId="6F05DA55" w:rsidR="00527759" w:rsidRPr="00EA7F84" w:rsidRDefault="00527759" w:rsidP="00527759">
      <w:pPr>
        <w:rPr>
          <w:rFonts w:ascii="Calibri" w:hAnsi="Calibri"/>
          <w:i/>
          <w:iCs/>
          <w:sz w:val="20"/>
          <w:szCs w:val="20"/>
        </w:rPr>
      </w:pPr>
      <w:r w:rsidRPr="00C53FE2">
        <w:rPr>
          <w:rFonts w:ascii="Calibri" w:hAnsi="Calibri"/>
        </w:rPr>
        <w:t xml:space="preserve">In the same time period, K-12 enrollment statewide </w:t>
      </w:r>
      <w:r w:rsidRPr="00C53FE2">
        <w:rPr>
          <w:rFonts w:ascii="Calibri" w:hAnsi="Calibri"/>
          <w:b/>
          <w:bCs/>
          <w:i/>
          <w:iCs/>
        </w:rPr>
        <w:t>decreased</w:t>
      </w:r>
      <w:r w:rsidRPr="00C53FE2">
        <w:rPr>
          <w:rFonts w:ascii="Calibri" w:hAnsi="Calibri"/>
        </w:rPr>
        <w:t xml:space="preserve"> 6%, from 6.2 million to 5.8 million</w:t>
      </w:r>
      <w:r w:rsidR="00885196">
        <w:rPr>
          <w:rFonts w:ascii="Calibri" w:hAnsi="Calibri"/>
        </w:rPr>
        <w:t>.</w:t>
      </w:r>
      <w:r w:rsidR="00885196">
        <w:rPr>
          <w:rFonts w:ascii="Calibri" w:hAnsi="Calibri"/>
        </w:rPr>
        <w:br/>
      </w:r>
      <w:r w:rsidR="00EA7F84">
        <w:rPr>
          <w:rFonts w:ascii="Calibri" w:hAnsi="Calibri"/>
          <w:i/>
          <w:iCs/>
          <w:sz w:val="20"/>
          <w:szCs w:val="20"/>
        </w:rPr>
        <w:br/>
      </w:r>
    </w:p>
    <w:p w14:paraId="5193D2C5" w14:textId="77777777" w:rsidR="00527759" w:rsidRPr="00C53FE2" w:rsidRDefault="00527759" w:rsidP="00091694">
      <w:bookmarkStart w:id="192" w:name="_Toc168762739"/>
      <w:bookmarkStart w:id="193" w:name="_Toc194324240"/>
      <w:r w:rsidRPr="00C53FE2">
        <w:t>Kern County K-12 English Language Learners by Language</w:t>
      </w:r>
      <w:bookmarkEnd w:id="192"/>
      <w:bookmarkEnd w:id="193"/>
    </w:p>
    <w:p w14:paraId="2F09A403" w14:textId="77777777" w:rsidR="00527759" w:rsidRPr="00C53FE2" w:rsidRDefault="00527759" w:rsidP="00527759">
      <w:pPr>
        <w:jc w:val="center"/>
        <w:rPr>
          <w:rFonts w:ascii="Calibri" w:hAnsi="Calibri"/>
          <w:i/>
          <w:iCs/>
          <w:sz w:val="20"/>
          <w:szCs w:val="20"/>
        </w:rPr>
      </w:pPr>
      <w:r w:rsidRPr="00C53FE2">
        <w:rPr>
          <w:rFonts w:ascii="Calibri" w:hAnsi="Calibri"/>
          <w:i/>
          <w:iCs/>
          <w:noProof/>
          <w:sz w:val="20"/>
          <w:szCs w:val="20"/>
        </w:rPr>
        <w:lastRenderedPageBreak/>
        <w:drawing>
          <wp:inline distT="0" distB="0" distL="0" distR="0" wp14:anchorId="01313DD1" wp14:editId="591D25A2">
            <wp:extent cx="2861425" cy="1947615"/>
            <wp:effectExtent l="0" t="0" r="0" b="0"/>
            <wp:docPr id="839083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1697" name=""/>
                    <pic:cNvPicPr/>
                  </pic:nvPicPr>
                  <pic:blipFill>
                    <a:blip r:embed="rId48"/>
                    <a:stretch>
                      <a:fillRect/>
                    </a:stretch>
                  </pic:blipFill>
                  <pic:spPr>
                    <a:xfrm>
                      <a:off x="0" y="0"/>
                      <a:ext cx="2875781" cy="1957386"/>
                    </a:xfrm>
                    <a:prstGeom prst="rect">
                      <a:avLst/>
                    </a:prstGeom>
                  </pic:spPr>
                </pic:pic>
              </a:graphicData>
            </a:graphic>
          </wp:inline>
        </w:drawing>
      </w:r>
    </w:p>
    <w:p w14:paraId="1FE5D5C4" w14:textId="64DAD5C6" w:rsidR="00527759" w:rsidRPr="00C53FE2" w:rsidRDefault="00527759" w:rsidP="00CB2591">
      <w:pPr>
        <w:jc w:val="both"/>
        <w:rPr>
          <w:rFonts w:ascii="Calibri" w:hAnsi="Calibri"/>
          <w:i/>
          <w:iCs/>
          <w:sz w:val="20"/>
          <w:szCs w:val="20"/>
        </w:rPr>
      </w:pPr>
      <w:r w:rsidRPr="00C53FE2">
        <w:rPr>
          <w:rFonts w:ascii="Calibri" w:hAnsi="Calibri"/>
          <w:i/>
          <w:iCs/>
          <w:sz w:val="20"/>
          <w:szCs w:val="20"/>
        </w:rPr>
        <w:t xml:space="preserve">Source: CDE </w:t>
      </w:r>
      <w:proofErr w:type="spellStart"/>
      <w:r w:rsidRPr="00C53FE2">
        <w:rPr>
          <w:rFonts w:ascii="Calibri" w:hAnsi="Calibri"/>
          <w:i/>
          <w:iCs/>
          <w:sz w:val="20"/>
          <w:szCs w:val="20"/>
        </w:rPr>
        <w:t>DataQuest</w:t>
      </w:r>
      <w:proofErr w:type="spellEnd"/>
      <w:r w:rsidR="001D3214">
        <w:rPr>
          <w:rFonts w:ascii="Calibri" w:hAnsi="Calibri"/>
          <w:i/>
          <w:iCs/>
          <w:sz w:val="20"/>
          <w:szCs w:val="20"/>
        </w:rPr>
        <w:t>.</w:t>
      </w:r>
    </w:p>
    <w:p w14:paraId="4F468F67" w14:textId="6AF3831A" w:rsidR="00527759" w:rsidRPr="00C53FE2" w:rsidRDefault="00527759" w:rsidP="00527759">
      <w:pPr>
        <w:rPr>
          <w:rFonts w:ascii="Calibri" w:hAnsi="Calibri"/>
        </w:rPr>
      </w:pPr>
      <w:r w:rsidRPr="00C53FE2">
        <w:rPr>
          <w:rFonts w:ascii="Calibri" w:hAnsi="Calibri"/>
        </w:rPr>
        <w:t xml:space="preserve">There are 53 different first languages reported for students enrolled in English Language </w:t>
      </w:r>
      <w:r w:rsidR="00885196">
        <w:rPr>
          <w:rFonts w:ascii="Calibri" w:hAnsi="Calibri"/>
        </w:rPr>
        <w:t xml:space="preserve">(EL) </w:t>
      </w:r>
      <w:r w:rsidRPr="00C53FE2">
        <w:rPr>
          <w:rFonts w:ascii="Calibri" w:hAnsi="Calibri"/>
        </w:rPr>
        <w:t>programs in Kern County Schools.</w:t>
      </w:r>
    </w:p>
    <w:p w14:paraId="60F83C08" w14:textId="77777777" w:rsidR="00527759" w:rsidRPr="00C53FE2" w:rsidRDefault="00527759" w:rsidP="00527759">
      <w:pPr>
        <w:rPr>
          <w:rFonts w:ascii="Calibri" w:hAnsi="Calibri"/>
        </w:rPr>
      </w:pPr>
      <w:r w:rsidRPr="00C53FE2">
        <w:rPr>
          <w:rFonts w:ascii="Calibri" w:hAnsi="Calibri"/>
        </w:rPr>
        <w:t>The vast majority (93.9%) speak Spanish, followed distantly by Punjabi (2.0%) and Arabic (1.7%). All other languages represent less than 1% of EL students.</w:t>
      </w:r>
    </w:p>
    <w:p w14:paraId="2E23E20A" w14:textId="2E74EA25" w:rsidR="00527759" w:rsidRDefault="00527759" w:rsidP="00527759">
      <w:pPr>
        <w:rPr>
          <w:rFonts w:ascii="Calibri" w:hAnsi="Calibri"/>
        </w:rPr>
      </w:pPr>
      <w:r w:rsidRPr="00C53FE2">
        <w:rPr>
          <w:rFonts w:ascii="Calibri" w:hAnsi="Calibri"/>
        </w:rPr>
        <w:t xml:space="preserve">According to US Census data (presented previously), </w:t>
      </w:r>
      <w:r w:rsidR="00885196">
        <w:rPr>
          <w:rFonts w:ascii="Calibri" w:hAnsi="Calibri"/>
        </w:rPr>
        <w:t>19.7%</w:t>
      </w:r>
      <w:r w:rsidRPr="00C53FE2">
        <w:rPr>
          <w:rFonts w:ascii="Calibri" w:hAnsi="Calibri"/>
        </w:rPr>
        <w:t xml:space="preserve"> of Kern County </w:t>
      </w:r>
      <w:r w:rsidR="00885196">
        <w:rPr>
          <w:rFonts w:ascii="Calibri" w:hAnsi="Calibri"/>
        </w:rPr>
        <w:t>residents are foreign-</w:t>
      </w:r>
      <w:r w:rsidRPr="00C53FE2">
        <w:rPr>
          <w:rFonts w:ascii="Calibri" w:hAnsi="Calibri"/>
        </w:rPr>
        <w:t>born, and 44.8% report speaking a language other than English at home.</w:t>
      </w:r>
    </w:p>
    <w:p w14:paraId="629B0847" w14:textId="77777777" w:rsidR="00527759" w:rsidRPr="008932C0" w:rsidRDefault="00527759" w:rsidP="00091694">
      <w:bookmarkStart w:id="194" w:name="_Toc168762740"/>
      <w:bookmarkStart w:id="195" w:name="_Toc194324241"/>
      <w:r w:rsidRPr="008932C0">
        <w:t>Kern County Twelfth Grade Enrollment (Including Charters)</w:t>
      </w:r>
      <w:bookmarkEnd w:id="194"/>
      <w:bookmarkEnd w:id="195"/>
    </w:p>
    <w:p w14:paraId="70998879" w14:textId="77777777" w:rsidR="00527759" w:rsidRPr="00C53FE2" w:rsidRDefault="00527759" w:rsidP="00527759">
      <w:pPr>
        <w:jc w:val="center"/>
        <w:rPr>
          <w:rFonts w:ascii="Calibri" w:hAnsi="Calibri"/>
        </w:rPr>
      </w:pPr>
      <w:r w:rsidRPr="00C53FE2">
        <w:rPr>
          <w:rFonts w:ascii="Calibri" w:hAnsi="Calibri"/>
          <w:noProof/>
        </w:rPr>
        <w:drawing>
          <wp:inline distT="0" distB="0" distL="0" distR="0" wp14:anchorId="4E39A639" wp14:editId="14AAAD01">
            <wp:extent cx="3842595" cy="2663917"/>
            <wp:effectExtent l="0" t="0" r="5715" b="3175"/>
            <wp:docPr id="1031759783" name="Chart 1">
              <a:extLst xmlns:a="http://schemas.openxmlformats.org/drawingml/2006/main">
                <a:ext uri="{FF2B5EF4-FFF2-40B4-BE49-F238E27FC236}">
                  <a16:creationId xmlns:a16="http://schemas.microsoft.com/office/drawing/2014/main" id="{93E68617-C72A-8DDB-479C-C89A0B851D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D156D63" w14:textId="26BB369D" w:rsidR="00527759" w:rsidRPr="00885196" w:rsidRDefault="00527759" w:rsidP="001D3214">
      <w:pPr>
        <w:rPr>
          <w:rFonts w:ascii="Calibri" w:hAnsi="Calibri"/>
          <w:i/>
          <w:iCs/>
          <w:sz w:val="20"/>
          <w:szCs w:val="20"/>
        </w:rPr>
      </w:pPr>
      <w:r w:rsidRPr="00885196">
        <w:rPr>
          <w:rFonts w:ascii="Calibri" w:hAnsi="Calibri"/>
          <w:i/>
          <w:iCs/>
          <w:sz w:val="20"/>
          <w:szCs w:val="20"/>
        </w:rPr>
        <w:t xml:space="preserve">Source: CDE </w:t>
      </w:r>
      <w:proofErr w:type="spellStart"/>
      <w:r w:rsidRPr="00885196">
        <w:rPr>
          <w:rFonts w:ascii="Calibri" w:hAnsi="Calibri"/>
          <w:i/>
          <w:iCs/>
          <w:sz w:val="20"/>
          <w:szCs w:val="20"/>
        </w:rPr>
        <w:t>DataQuest</w:t>
      </w:r>
      <w:proofErr w:type="spellEnd"/>
      <w:r w:rsidR="001D3214">
        <w:rPr>
          <w:rFonts w:ascii="Calibri" w:hAnsi="Calibri"/>
          <w:i/>
          <w:iCs/>
          <w:sz w:val="20"/>
          <w:szCs w:val="20"/>
        </w:rPr>
        <w:t>.</w:t>
      </w:r>
    </w:p>
    <w:p w14:paraId="4A124A4D" w14:textId="77777777" w:rsidR="00527759" w:rsidRPr="00C53FE2" w:rsidRDefault="00527759" w:rsidP="00527759">
      <w:pPr>
        <w:rPr>
          <w:rFonts w:ascii="Calibri" w:hAnsi="Calibri"/>
        </w:rPr>
      </w:pPr>
      <w:r w:rsidRPr="00C53FE2">
        <w:rPr>
          <w:rFonts w:ascii="Calibri" w:hAnsi="Calibri"/>
        </w:rPr>
        <w:t>Enrollment in twelfth grade in Kern County increased 12% from 2016-2017 to 2022-2023, from 13,676 to 15,275.</w:t>
      </w:r>
    </w:p>
    <w:p w14:paraId="3AB955EC" w14:textId="77777777" w:rsidR="00527759" w:rsidRPr="00C53FE2" w:rsidRDefault="00527759" w:rsidP="00091694">
      <w:bookmarkStart w:id="196" w:name="_Toc168762741"/>
      <w:bookmarkStart w:id="197" w:name="_Toc194324242"/>
      <w:r w:rsidRPr="00C53FE2">
        <w:t>Kern County Twelfth Grade Enrollment by Ethnicity</w:t>
      </w:r>
      <w:bookmarkEnd w:id="196"/>
      <w:bookmarkEnd w:id="197"/>
    </w:p>
    <w:p w14:paraId="7322126D" w14:textId="77777777" w:rsidR="00527759" w:rsidRPr="00C53FE2" w:rsidRDefault="00527759" w:rsidP="00527759">
      <w:pPr>
        <w:jc w:val="center"/>
        <w:rPr>
          <w:rFonts w:ascii="Calibri" w:hAnsi="Calibri"/>
        </w:rPr>
      </w:pPr>
      <w:r w:rsidRPr="00C53FE2">
        <w:rPr>
          <w:rFonts w:ascii="Calibri" w:hAnsi="Calibri"/>
          <w:noProof/>
        </w:rPr>
        <w:lastRenderedPageBreak/>
        <w:drawing>
          <wp:inline distT="0" distB="0" distL="0" distR="0" wp14:anchorId="72BBC019" wp14:editId="27C57CE3">
            <wp:extent cx="3435632" cy="2368550"/>
            <wp:effectExtent l="0" t="0" r="0" b="0"/>
            <wp:docPr id="451659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09751" name=""/>
                    <pic:cNvPicPr/>
                  </pic:nvPicPr>
                  <pic:blipFill>
                    <a:blip r:embed="rId50"/>
                    <a:stretch>
                      <a:fillRect/>
                    </a:stretch>
                  </pic:blipFill>
                  <pic:spPr>
                    <a:xfrm>
                      <a:off x="0" y="0"/>
                      <a:ext cx="3481625" cy="2400258"/>
                    </a:xfrm>
                    <a:prstGeom prst="rect">
                      <a:avLst/>
                    </a:prstGeom>
                  </pic:spPr>
                </pic:pic>
              </a:graphicData>
            </a:graphic>
          </wp:inline>
        </w:drawing>
      </w:r>
    </w:p>
    <w:p w14:paraId="7D29DBAD" w14:textId="737B4497" w:rsidR="00527759" w:rsidRPr="001D3214" w:rsidRDefault="00527759" w:rsidP="001D3214">
      <w:pPr>
        <w:rPr>
          <w:rFonts w:ascii="Calibri" w:hAnsi="Calibri"/>
          <w:i/>
          <w:iCs/>
          <w:sz w:val="20"/>
          <w:szCs w:val="20"/>
        </w:rPr>
      </w:pPr>
      <w:r w:rsidRPr="001D3214">
        <w:rPr>
          <w:rFonts w:ascii="Calibri" w:hAnsi="Calibri"/>
          <w:i/>
          <w:iCs/>
          <w:sz w:val="20"/>
          <w:szCs w:val="20"/>
        </w:rPr>
        <w:t xml:space="preserve">Source: CDE </w:t>
      </w:r>
      <w:proofErr w:type="spellStart"/>
      <w:r w:rsidRPr="001D3214">
        <w:rPr>
          <w:rFonts w:ascii="Calibri" w:hAnsi="Calibri"/>
          <w:i/>
          <w:iCs/>
          <w:sz w:val="20"/>
          <w:szCs w:val="20"/>
        </w:rPr>
        <w:t>DataQuest</w:t>
      </w:r>
      <w:proofErr w:type="spellEnd"/>
      <w:r w:rsidR="001D3214" w:rsidRPr="001D3214">
        <w:rPr>
          <w:rFonts w:ascii="Calibri" w:hAnsi="Calibri"/>
          <w:i/>
          <w:iCs/>
          <w:sz w:val="20"/>
          <w:szCs w:val="20"/>
        </w:rPr>
        <w:t>.</w:t>
      </w:r>
    </w:p>
    <w:p w14:paraId="49DD7442" w14:textId="77777777" w:rsidR="00527759" w:rsidRDefault="00527759" w:rsidP="00527759">
      <w:pPr>
        <w:rPr>
          <w:rFonts w:ascii="Calibri" w:hAnsi="Calibri"/>
        </w:rPr>
      </w:pPr>
      <w:r w:rsidRPr="00C53FE2">
        <w:rPr>
          <w:rFonts w:ascii="Calibri" w:hAnsi="Calibri"/>
        </w:rPr>
        <w:t xml:space="preserve">Over two-thirds (68.5%) of county seniors in 2022-2023 were Latino, while less than one-fifth (18.5%) were White. </w:t>
      </w:r>
    </w:p>
    <w:p w14:paraId="5B6B6752" w14:textId="77777777" w:rsidR="00527759" w:rsidRDefault="00527759" w:rsidP="00F16EFC">
      <w:bookmarkStart w:id="198" w:name="_Toc168762742"/>
      <w:bookmarkStart w:id="199" w:name="_Toc194324243"/>
      <w:r w:rsidRPr="00C53FE2">
        <w:t>Kern County Graduation Rates, Compared</w:t>
      </w:r>
      <w:bookmarkEnd w:id="198"/>
      <w:bookmarkEnd w:id="199"/>
    </w:p>
    <w:p w14:paraId="44D767B2" w14:textId="77777777" w:rsidR="001D3214" w:rsidRPr="001D3214" w:rsidRDefault="001D3214" w:rsidP="001D3214"/>
    <w:p w14:paraId="4267A4A8" w14:textId="77777777" w:rsidR="00527759" w:rsidRPr="00C53FE2" w:rsidRDefault="00527759" w:rsidP="00527759">
      <w:pPr>
        <w:rPr>
          <w:rFonts w:ascii="Calibri" w:hAnsi="Calibri"/>
          <w:i/>
          <w:iCs/>
          <w:sz w:val="20"/>
          <w:szCs w:val="20"/>
        </w:rPr>
      </w:pPr>
      <w:r w:rsidRPr="00C53FE2">
        <w:rPr>
          <w:rFonts w:ascii="Calibri" w:hAnsi="Calibri"/>
          <w:i/>
          <w:iCs/>
          <w:noProof/>
          <w:sz w:val="20"/>
          <w:szCs w:val="20"/>
        </w:rPr>
        <w:drawing>
          <wp:inline distT="0" distB="0" distL="0" distR="0" wp14:anchorId="5E54E967" wp14:editId="7A8B058E">
            <wp:extent cx="5943600" cy="2384425"/>
            <wp:effectExtent l="0" t="0" r="0" b="0"/>
            <wp:docPr id="74540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709900" name=""/>
                    <pic:cNvPicPr/>
                  </pic:nvPicPr>
                  <pic:blipFill>
                    <a:blip r:embed="rId51"/>
                    <a:stretch>
                      <a:fillRect/>
                    </a:stretch>
                  </pic:blipFill>
                  <pic:spPr>
                    <a:xfrm>
                      <a:off x="0" y="0"/>
                      <a:ext cx="5943600" cy="2384425"/>
                    </a:xfrm>
                    <a:prstGeom prst="rect">
                      <a:avLst/>
                    </a:prstGeom>
                  </pic:spPr>
                </pic:pic>
              </a:graphicData>
            </a:graphic>
          </wp:inline>
        </w:drawing>
      </w:r>
    </w:p>
    <w:p w14:paraId="1D24A224" w14:textId="77777777" w:rsidR="00527759" w:rsidRPr="00C53FE2" w:rsidRDefault="00527759" w:rsidP="00F16EFC">
      <w:bookmarkStart w:id="200" w:name="_Toc168762743"/>
      <w:bookmarkStart w:id="201" w:name="_Toc194324244"/>
      <w:r w:rsidRPr="00C53FE2">
        <w:t>Kern County College-Going Rates, by Ethnicity</w:t>
      </w:r>
      <w:bookmarkEnd w:id="200"/>
      <w:bookmarkEnd w:id="201"/>
    </w:p>
    <w:p w14:paraId="216D0224" w14:textId="77777777" w:rsidR="00527759" w:rsidRPr="00C53FE2" w:rsidRDefault="00527759" w:rsidP="00527759">
      <w:pPr>
        <w:jc w:val="center"/>
        <w:rPr>
          <w:rFonts w:ascii="Calibri" w:hAnsi="Calibri"/>
          <w:i/>
          <w:iCs/>
          <w:sz w:val="20"/>
          <w:szCs w:val="20"/>
        </w:rPr>
      </w:pPr>
      <w:r w:rsidRPr="00C53FE2">
        <w:rPr>
          <w:rFonts w:ascii="Calibri" w:hAnsi="Calibri"/>
          <w:i/>
          <w:iCs/>
          <w:noProof/>
          <w:sz w:val="20"/>
          <w:szCs w:val="20"/>
        </w:rPr>
        <w:drawing>
          <wp:inline distT="0" distB="0" distL="0" distR="0" wp14:anchorId="4261236E" wp14:editId="2398FCC4">
            <wp:extent cx="2993694" cy="2295165"/>
            <wp:effectExtent l="0" t="0" r="0" b="0"/>
            <wp:docPr id="386589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30945" name=""/>
                    <pic:cNvPicPr/>
                  </pic:nvPicPr>
                  <pic:blipFill>
                    <a:blip r:embed="rId52"/>
                    <a:stretch>
                      <a:fillRect/>
                    </a:stretch>
                  </pic:blipFill>
                  <pic:spPr>
                    <a:xfrm>
                      <a:off x="0" y="0"/>
                      <a:ext cx="3017553" cy="2313457"/>
                    </a:xfrm>
                    <a:prstGeom prst="rect">
                      <a:avLst/>
                    </a:prstGeom>
                  </pic:spPr>
                </pic:pic>
              </a:graphicData>
            </a:graphic>
          </wp:inline>
        </w:drawing>
      </w:r>
    </w:p>
    <w:p w14:paraId="6DF7E85B" w14:textId="16B202BD" w:rsidR="00527759" w:rsidRPr="00C53FE2" w:rsidRDefault="00527759" w:rsidP="001D3214">
      <w:pPr>
        <w:rPr>
          <w:rFonts w:ascii="Calibri" w:hAnsi="Calibri"/>
          <w:i/>
          <w:iCs/>
          <w:sz w:val="20"/>
          <w:szCs w:val="20"/>
        </w:rPr>
      </w:pPr>
      <w:r w:rsidRPr="00C53FE2">
        <w:rPr>
          <w:rFonts w:ascii="Calibri" w:hAnsi="Calibri"/>
          <w:i/>
          <w:iCs/>
          <w:sz w:val="20"/>
          <w:szCs w:val="20"/>
        </w:rPr>
        <w:t xml:space="preserve">Source: CDE </w:t>
      </w:r>
      <w:proofErr w:type="spellStart"/>
      <w:r w:rsidRPr="00C53FE2">
        <w:rPr>
          <w:rFonts w:ascii="Calibri" w:hAnsi="Calibri"/>
          <w:i/>
          <w:iCs/>
          <w:sz w:val="20"/>
          <w:szCs w:val="20"/>
        </w:rPr>
        <w:t>DataQuest</w:t>
      </w:r>
      <w:proofErr w:type="spellEnd"/>
      <w:r w:rsidR="001D3214">
        <w:rPr>
          <w:rFonts w:ascii="Calibri" w:hAnsi="Calibri"/>
          <w:i/>
          <w:iCs/>
          <w:sz w:val="20"/>
          <w:szCs w:val="20"/>
        </w:rPr>
        <w:t>.</w:t>
      </w:r>
    </w:p>
    <w:p w14:paraId="5A99DD9F" w14:textId="77777777" w:rsidR="00527759" w:rsidRPr="00C53FE2" w:rsidRDefault="00527759" w:rsidP="00527759">
      <w:pPr>
        <w:rPr>
          <w:rFonts w:ascii="Calibri" w:hAnsi="Calibri"/>
        </w:rPr>
      </w:pPr>
      <w:r w:rsidRPr="00C53FE2">
        <w:rPr>
          <w:rFonts w:ascii="Calibri" w:hAnsi="Calibri"/>
        </w:rPr>
        <w:lastRenderedPageBreak/>
        <w:t>Less than half (44.3%) of Kern County high school completers enroll in a postsecondary institution within 12 months, which is significantly lower than the statewide average of 62.2%.</w:t>
      </w:r>
    </w:p>
    <w:p w14:paraId="5BD8129F" w14:textId="77777777" w:rsidR="00527759" w:rsidRPr="00C53FE2" w:rsidRDefault="00527759" w:rsidP="00527759">
      <w:pPr>
        <w:rPr>
          <w:rFonts w:ascii="Calibri" w:hAnsi="Calibri"/>
        </w:rPr>
      </w:pPr>
      <w:r w:rsidRPr="00C53FE2">
        <w:rPr>
          <w:rFonts w:ascii="Calibri" w:hAnsi="Calibri"/>
        </w:rPr>
        <w:t>Rates vary by ethnicity, with Asian, Filipino, multiracial, and White students having the highest college going rates.</w:t>
      </w:r>
    </w:p>
    <w:p w14:paraId="0B4F5341" w14:textId="1E03FEE2" w:rsidR="00527759" w:rsidRPr="00885196" w:rsidRDefault="00527759" w:rsidP="00527759">
      <w:r w:rsidRPr="00C53FE2">
        <w:rPr>
          <w:rFonts w:ascii="Calibri" w:hAnsi="Calibri"/>
        </w:rPr>
        <w:t>Statewide (51.3%) and in Kern County (52.1%), half of</w:t>
      </w:r>
      <w:r w:rsidR="00885196">
        <w:rPr>
          <w:rFonts w:ascii="Calibri" w:hAnsi="Calibri"/>
        </w:rPr>
        <w:t xml:space="preserve"> high school</w:t>
      </w:r>
      <w:r w:rsidRPr="00C53FE2">
        <w:rPr>
          <w:rFonts w:ascii="Calibri" w:hAnsi="Calibri"/>
        </w:rPr>
        <w:t xml:space="preserve"> seniors who attend college choose a California Community College</w:t>
      </w:r>
      <w:r w:rsidR="00885196">
        <w:rPr>
          <w:rFonts w:ascii="Calibri" w:hAnsi="Calibri"/>
        </w:rPr>
        <w:t>.</w:t>
      </w:r>
      <w:r w:rsidRPr="00C53FE2">
        <w:rPr>
          <w:rFonts w:ascii="Calibri" w:hAnsi="Calibri"/>
        </w:rPr>
        <w:t xml:space="preserve"> </w:t>
      </w:r>
      <w:r w:rsidR="00885196">
        <w:rPr>
          <w:rFonts w:ascii="Calibri" w:hAnsi="Calibri"/>
        </w:rPr>
        <w:br/>
      </w:r>
      <w:r w:rsidR="00885196" w:rsidRPr="001D3214">
        <w:rPr>
          <w:i/>
          <w:iCs/>
          <w:sz w:val="20"/>
          <w:szCs w:val="20"/>
        </w:rPr>
        <w:t>S</w:t>
      </w:r>
      <w:r w:rsidRPr="001D3214">
        <w:rPr>
          <w:i/>
          <w:iCs/>
          <w:sz w:val="20"/>
          <w:szCs w:val="20"/>
        </w:rPr>
        <w:t xml:space="preserve">ource: CDE </w:t>
      </w:r>
      <w:proofErr w:type="spellStart"/>
      <w:r w:rsidRPr="001D3214">
        <w:rPr>
          <w:i/>
          <w:iCs/>
          <w:sz w:val="20"/>
          <w:szCs w:val="20"/>
        </w:rPr>
        <w:t>DataQuest</w:t>
      </w:r>
      <w:proofErr w:type="spellEnd"/>
    </w:p>
    <w:p w14:paraId="7D3990E4" w14:textId="77777777" w:rsidR="00527759" w:rsidRDefault="00527759" w:rsidP="00091694">
      <w:bookmarkStart w:id="202" w:name="_Toc168762744"/>
      <w:bookmarkStart w:id="203" w:name="_Toc194324245"/>
      <w:r w:rsidRPr="00C53FE2">
        <w:t>Kern County College-Going Rates, by District</w:t>
      </w:r>
      <w:bookmarkEnd w:id="202"/>
      <w:bookmarkEnd w:id="203"/>
    </w:p>
    <w:p w14:paraId="4E598B03" w14:textId="77777777" w:rsidR="001D3214" w:rsidRPr="001D3214" w:rsidRDefault="001D3214" w:rsidP="001D3214"/>
    <w:p w14:paraId="24788872" w14:textId="77777777" w:rsidR="00527759" w:rsidRPr="00C53FE2" w:rsidRDefault="00527759" w:rsidP="00CC3646">
      <w:pPr>
        <w:spacing w:after="0"/>
        <w:jc w:val="center"/>
        <w:rPr>
          <w:rFonts w:ascii="Calibri" w:hAnsi="Calibri"/>
        </w:rPr>
      </w:pPr>
      <w:r w:rsidRPr="00C53FE2">
        <w:rPr>
          <w:rFonts w:ascii="Calibri" w:hAnsi="Calibri"/>
          <w:noProof/>
        </w:rPr>
        <w:drawing>
          <wp:inline distT="0" distB="0" distL="0" distR="0" wp14:anchorId="3F25C1D2" wp14:editId="26896E3B">
            <wp:extent cx="3493599" cy="2476500"/>
            <wp:effectExtent l="0" t="0" r="0" b="0"/>
            <wp:docPr id="2078848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26466" name=""/>
                    <pic:cNvPicPr/>
                  </pic:nvPicPr>
                  <pic:blipFill>
                    <a:blip r:embed="rId53"/>
                    <a:stretch>
                      <a:fillRect/>
                    </a:stretch>
                  </pic:blipFill>
                  <pic:spPr>
                    <a:xfrm>
                      <a:off x="0" y="0"/>
                      <a:ext cx="3517989" cy="2493789"/>
                    </a:xfrm>
                    <a:prstGeom prst="rect">
                      <a:avLst/>
                    </a:prstGeom>
                  </pic:spPr>
                </pic:pic>
              </a:graphicData>
            </a:graphic>
          </wp:inline>
        </w:drawing>
      </w:r>
    </w:p>
    <w:p w14:paraId="3F173C94" w14:textId="7839E44C" w:rsidR="00527759" w:rsidRPr="001D3214" w:rsidRDefault="00527759" w:rsidP="00CC3646">
      <w:pPr>
        <w:spacing w:after="0"/>
        <w:rPr>
          <w:rFonts w:ascii="Calibri" w:hAnsi="Calibri"/>
          <w:i/>
          <w:iCs/>
          <w:sz w:val="20"/>
          <w:szCs w:val="20"/>
        </w:rPr>
      </w:pPr>
      <w:r w:rsidRPr="001D3214">
        <w:rPr>
          <w:rFonts w:ascii="Calibri" w:hAnsi="Calibri"/>
          <w:i/>
          <w:iCs/>
          <w:sz w:val="20"/>
          <w:szCs w:val="20"/>
        </w:rPr>
        <w:t xml:space="preserve">Source: CDE </w:t>
      </w:r>
      <w:proofErr w:type="spellStart"/>
      <w:r w:rsidRPr="001D3214">
        <w:rPr>
          <w:rFonts w:ascii="Calibri" w:hAnsi="Calibri"/>
          <w:i/>
          <w:iCs/>
          <w:sz w:val="20"/>
          <w:szCs w:val="20"/>
        </w:rPr>
        <w:t>DataQuest</w:t>
      </w:r>
      <w:proofErr w:type="spellEnd"/>
      <w:r w:rsidR="001D3214">
        <w:rPr>
          <w:rFonts w:ascii="Calibri" w:hAnsi="Calibri"/>
          <w:i/>
          <w:iCs/>
          <w:sz w:val="20"/>
          <w:szCs w:val="20"/>
        </w:rPr>
        <w:t>.</w:t>
      </w:r>
    </w:p>
    <w:p w14:paraId="797BD852" w14:textId="77777777" w:rsidR="00527759" w:rsidRPr="00C53FE2" w:rsidRDefault="00527759" w:rsidP="00527759">
      <w:pPr>
        <w:rPr>
          <w:rFonts w:ascii="Calibri" w:hAnsi="Calibri"/>
        </w:rPr>
      </w:pPr>
      <w:r w:rsidRPr="00C53FE2">
        <w:rPr>
          <w:rFonts w:ascii="Calibri" w:hAnsi="Calibri"/>
        </w:rPr>
        <w:t>College-going rates vary by district within Kern County. Over half of El Tejon (52.5%), Taft (51.7%), and Muroc (50.6%) twelfth grade completers enroll in college within twelve months.</w:t>
      </w:r>
    </w:p>
    <w:p w14:paraId="1F26CAD6" w14:textId="77777777" w:rsidR="00527759" w:rsidRPr="00C53FE2" w:rsidRDefault="00527759" w:rsidP="00527759">
      <w:pPr>
        <w:rPr>
          <w:rFonts w:ascii="Calibri" w:hAnsi="Calibri"/>
        </w:rPr>
      </w:pPr>
      <w:r w:rsidRPr="00C53FE2">
        <w:rPr>
          <w:rFonts w:ascii="Calibri" w:hAnsi="Calibri"/>
        </w:rPr>
        <w:t>The same is true for less than half of completing seniors from other county high schools.</w:t>
      </w:r>
    </w:p>
    <w:p w14:paraId="2E402FC3" w14:textId="77777777" w:rsidR="00527759" w:rsidRPr="00C53FE2" w:rsidRDefault="00527759" w:rsidP="00527759">
      <w:pPr>
        <w:rPr>
          <w:rFonts w:ascii="Calibri" w:hAnsi="Calibri"/>
        </w:rPr>
      </w:pPr>
      <w:r w:rsidRPr="00C53FE2">
        <w:rPr>
          <w:rFonts w:ascii="Calibri" w:hAnsi="Calibri"/>
        </w:rPr>
        <w:t>According to CDE data (presented previously), the state college-going rate is 62.2%, higher than for any district in Kern County.</w:t>
      </w:r>
    </w:p>
    <w:p w14:paraId="6F751245" w14:textId="77777777" w:rsidR="00527759" w:rsidRDefault="00527759" w:rsidP="00527759">
      <w:pPr>
        <w:pStyle w:val="Heading2"/>
      </w:pPr>
      <w:bookmarkStart w:id="204" w:name="_Toc194931267"/>
      <w:bookmarkStart w:id="205" w:name="_Toc194931592"/>
      <w:bookmarkStart w:id="206" w:name="_Toc168762745"/>
      <w:r w:rsidRPr="00C53FE2">
        <w:t>Labor Market</w:t>
      </w:r>
      <w:r>
        <w:t xml:space="preserve"> Information</w:t>
      </w:r>
      <w:bookmarkEnd w:id="204"/>
      <w:bookmarkEnd w:id="205"/>
    </w:p>
    <w:p w14:paraId="794AD760" w14:textId="77777777" w:rsidR="00527759" w:rsidRPr="00C53FE2" w:rsidRDefault="00527759" w:rsidP="00091694">
      <w:bookmarkStart w:id="207" w:name="_Toc194324247"/>
      <w:r w:rsidRPr="00C53FE2">
        <w:t>Top Occupations in the Central Valley/Mother Lode, 2023</w:t>
      </w:r>
      <w:bookmarkEnd w:id="206"/>
      <w:bookmarkEnd w:id="207"/>
    </w:p>
    <w:p w14:paraId="473576E2" w14:textId="77777777" w:rsidR="00527759" w:rsidRPr="00C53FE2" w:rsidRDefault="00527759" w:rsidP="00CC3646">
      <w:pPr>
        <w:spacing w:after="0"/>
        <w:rPr>
          <w:rFonts w:ascii="Calibri" w:hAnsi="Calibri"/>
        </w:rPr>
      </w:pPr>
      <w:r w:rsidRPr="00C53FE2">
        <w:rPr>
          <w:rFonts w:ascii="Calibri" w:hAnsi="Calibri"/>
          <w:noProof/>
        </w:rPr>
        <w:drawing>
          <wp:inline distT="0" distB="0" distL="0" distR="0" wp14:anchorId="01569837" wp14:editId="721A3418">
            <wp:extent cx="5943600" cy="2258695"/>
            <wp:effectExtent l="0" t="0" r="0" b="8255"/>
            <wp:docPr id="1247295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371854" name=""/>
                    <pic:cNvPicPr/>
                  </pic:nvPicPr>
                  <pic:blipFill>
                    <a:blip r:embed="rId54"/>
                    <a:stretch>
                      <a:fillRect/>
                    </a:stretch>
                  </pic:blipFill>
                  <pic:spPr>
                    <a:xfrm>
                      <a:off x="0" y="0"/>
                      <a:ext cx="5943600" cy="2258695"/>
                    </a:xfrm>
                    <a:prstGeom prst="rect">
                      <a:avLst/>
                    </a:prstGeom>
                  </pic:spPr>
                </pic:pic>
              </a:graphicData>
            </a:graphic>
          </wp:inline>
        </w:drawing>
      </w:r>
    </w:p>
    <w:p w14:paraId="691EA36D" w14:textId="4D7E6429" w:rsidR="00527759" w:rsidRPr="00885196" w:rsidRDefault="00527759" w:rsidP="00CC3646">
      <w:pPr>
        <w:spacing w:after="0"/>
        <w:rPr>
          <w:rFonts w:ascii="Times New Roman" w:hAnsi="Times New Roman"/>
          <w:i/>
          <w:iCs/>
          <w:sz w:val="20"/>
          <w:szCs w:val="20"/>
        </w:rPr>
      </w:pPr>
      <w:r w:rsidRPr="00885196">
        <w:rPr>
          <w:rFonts w:ascii="Calibri" w:hAnsi="Calibri"/>
          <w:i/>
          <w:iCs/>
          <w:sz w:val="20"/>
          <w:szCs w:val="20"/>
        </w:rPr>
        <w:t xml:space="preserve">Source: </w:t>
      </w:r>
      <w:hyperlink r:id="rId55" w:history="1">
        <w:r w:rsidRPr="00885196">
          <w:rPr>
            <w:rFonts w:ascii="Calibri" w:hAnsi="Calibri"/>
            <w:i/>
            <w:iCs/>
            <w:sz w:val="20"/>
            <w:szCs w:val="20"/>
            <w:u w:val="single"/>
          </w:rPr>
          <w:t>COE</w:t>
        </w:r>
      </w:hyperlink>
      <w:r w:rsidRPr="00885196">
        <w:rPr>
          <w:rFonts w:ascii="Calibri" w:hAnsi="Calibri"/>
          <w:i/>
          <w:iCs/>
          <w:sz w:val="20"/>
          <w:szCs w:val="20"/>
        </w:rPr>
        <w:t>/</w:t>
      </w:r>
      <w:proofErr w:type="spellStart"/>
      <w:r w:rsidRPr="00885196">
        <w:rPr>
          <w:rFonts w:ascii="Calibri" w:hAnsi="Calibri"/>
          <w:i/>
          <w:iCs/>
          <w:sz w:val="20"/>
          <w:szCs w:val="20"/>
        </w:rPr>
        <w:t>Lightcast</w:t>
      </w:r>
      <w:proofErr w:type="spellEnd"/>
      <w:r w:rsidRPr="00885196">
        <w:rPr>
          <w:rFonts w:ascii="Calibri" w:hAnsi="Calibri"/>
          <w:i/>
          <w:iCs/>
          <w:sz w:val="20"/>
          <w:szCs w:val="20"/>
        </w:rPr>
        <w:t xml:space="preserve"> </w:t>
      </w:r>
      <w:proofErr w:type="spellStart"/>
      <w:r w:rsidRPr="00885196">
        <w:rPr>
          <w:rFonts w:ascii="Calibri" w:hAnsi="Calibri"/>
          <w:i/>
          <w:iCs/>
          <w:sz w:val="20"/>
          <w:szCs w:val="20"/>
        </w:rPr>
        <w:t>Datarun</w:t>
      </w:r>
      <w:proofErr w:type="spellEnd"/>
      <w:r w:rsidRPr="00885196">
        <w:rPr>
          <w:rFonts w:ascii="Calibri" w:hAnsi="Calibri"/>
          <w:i/>
          <w:iCs/>
          <w:sz w:val="20"/>
          <w:szCs w:val="20"/>
        </w:rPr>
        <w:t xml:space="preserve"> 2022.4</w:t>
      </w:r>
      <w:r w:rsidR="00CB2591">
        <w:rPr>
          <w:rFonts w:ascii="Calibri" w:hAnsi="Calibri"/>
          <w:i/>
          <w:iCs/>
          <w:sz w:val="20"/>
          <w:szCs w:val="20"/>
        </w:rPr>
        <w:t>.</w:t>
      </w:r>
    </w:p>
    <w:p w14:paraId="577078F1" w14:textId="77777777" w:rsidR="00527759" w:rsidRPr="00C53FE2" w:rsidRDefault="00527759" w:rsidP="00527759">
      <w:pPr>
        <w:rPr>
          <w:rFonts w:ascii="Times New Roman" w:hAnsi="Times New Roman"/>
          <w:i/>
          <w:iCs/>
          <w:sz w:val="24"/>
        </w:rPr>
      </w:pPr>
      <w:r w:rsidRPr="00C53FE2">
        <w:rPr>
          <w:rFonts w:ascii="Calibri" w:hAnsi="Calibri"/>
          <w:i/>
          <w:iCs/>
        </w:rPr>
        <w:lastRenderedPageBreak/>
        <w:t xml:space="preserve">*Indicates at or above living wage for 1 adult 0 children ($21.44 in February 2024, </w:t>
      </w:r>
      <w:hyperlink r:id="rId56" w:history="1">
        <w:r w:rsidRPr="00C53FE2">
          <w:rPr>
            <w:rFonts w:ascii="Calibri" w:hAnsi="Calibri"/>
            <w:i/>
            <w:iCs/>
            <w:u w:val="single"/>
          </w:rPr>
          <w:t>MIT Living Wage Calculator, Kern County</w:t>
        </w:r>
      </w:hyperlink>
      <w:r w:rsidRPr="00C53FE2">
        <w:rPr>
          <w:rFonts w:ascii="Calibri" w:hAnsi="Calibri"/>
          <w:i/>
          <w:iCs/>
        </w:rPr>
        <w:t>)</w:t>
      </w:r>
    </w:p>
    <w:p w14:paraId="10DCA86B" w14:textId="77777777" w:rsidR="00527759" w:rsidRPr="00C53FE2" w:rsidRDefault="00527759" w:rsidP="00527759">
      <w:pPr>
        <w:rPr>
          <w:rFonts w:ascii="Calibri" w:hAnsi="Calibri"/>
        </w:rPr>
      </w:pPr>
      <w:r w:rsidRPr="00C53FE2">
        <w:rPr>
          <w:rFonts w:ascii="Calibri" w:hAnsi="Calibri"/>
        </w:rPr>
        <w:t>Eight of the top occupations are in the fields of Health or Education.</w:t>
      </w:r>
    </w:p>
    <w:p w14:paraId="7C35D5CD" w14:textId="77777777" w:rsidR="00527759" w:rsidRPr="00C53FE2" w:rsidRDefault="00527759" w:rsidP="00527759">
      <w:pPr>
        <w:rPr>
          <w:rFonts w:ascii="Calibri" w:hAnsi="Calibri"/>
        </w:rPr>
      </w:pPr>
      <w:r w:rsidRPr="00C53FE2">
        <w:rPr>
          <w:rFonts w:ascii="Calibri" w:hAnsi="Calibri"/>
        </w:rPr>
        <w:t xml:space="preserve">The region under consideration includes the Central Valley (from Stockton to Taft) and the Mother Lode region to the east of the Central Valley. </w:t>
      </w:r>
    </w:p>
    <w:p w14:paraId="277ECC5B" w14:textId="07EDF714" w:rsidR="00527759" w:rsidRPr="00C53FE2" w:rsidRDefault="00527759" w:rsidP="00527759">
      <w:pPr>
        <w:rPr>
          <w:rFonts w:ascii="Calibri" w:hAnsi="Calibri"/>
        </w:rPr>
      </w:pPr>
      <w:r w:rsidRPr="00C53FE2">
        <w:rPr>
          <w:rFonts w:ascii="Calibri" w:hAnsi="Calibri"/>
        </w:rPr>
        <w:t xml:space="preserve">For a list of the Top 50 Occupations in Central Valley/Mother Load Region, see the </w:t>
      </w:r>
      <w:hyperlink r:id="rId57" w:history="1">
        <w:r w:rsidRPr="00C53FE2">
          <w:rPr>
            <w:rFonts w:ascii="Calibri" w:hAnsi="Calibri"/>
            <w:color w:val="0563C1"/>
            <w:u w:val="single"/>
          </w:rPr>
          <w:t>full report</w:t>
        </w:r>
      </w:hyperlink>
      <w:r w:rsidRPr="00C53FE2">
        <w:rPr>
          <w:rFonts w:ascii="Calibri" w:hAnsi="Calibri"/>
        </w:rPr>
        <w:t>.</w:t>
      </w:r>
    </w:p>
    <w:p w14:paraId="3083D93A" w14:textId="472F982E" w:rsidR="00527759" w:rsidRPr="00CC3646" w:rsidRDefault="00527759" w:rsidP="00527759">
      <w:bookmarkStart w:id="208" w:name="_Toc168762746"/>
      <w:bookmarkStart w:id="209" w:name="_Toc194324248"/>
      <w:r w:rsidRPr="00F07E0A">
        <w:t>Gap Analysis, South Central Valley/Southern Mother Lode, 2023</w:t>
      </w:r>
      <w:bookmarkEnd w:id="208"/>
      <w:bookmarkEnd w:id="209"/>
    </w:p>
    <w:p w14:paraId="4D314CCD" w14:textId="77777777" w:rsidR="00527759" w:rsidRPr="00C53FE2" w:rsidRDefault="00527759" w:rsidP="00CC3646">
      <w:pPr>
        <w:spacing w:after="0"/>
        <w:jc w:val="center"/>
        <w:rPr>
          <w:rFonts w:ascii="Calibri" w:hAnsi="Calibri"/>
          <w:i/>
          <w:iCs/>
          <w:sz w:val="20"/>
          <w:szCs w:val="20"/>
        </w:rPr>
      </w:pPr>
      <w:r w:rsidRPr="00C53FE2">
        <w:rPr>
          <w:rFonts w:ascii="Calibri" w:hAnsi="Calibri"/>
          <w:i/>
          <w:iCs/>
          <w:noProof/>
          <w:sz w:val="20"/>
          <w:szCs w:val="20"/>
        </w:rPr>
        <w:drawing>
          <wp:inline distT="0" distB="0" distL="0" distR="0" wp14:anchorId="724D6CCF" wp14:editId="1F5442C1">
            <wp:extent cx="4376435" cy="2393480"/>
            <wp:effectExtent l="0" t="0" r="5080" b="6985"/>
            <wp:docPr id="2093761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46514" name=""/>
                    <pic:cNvPicPr/>
                  </pic:nvPicPr>
                  <pic:blipFill>
                    <a:blip r:embed="rId58"/>
                    <a:stretch>
                      <a:fillRect/>
                    </a:stretch>
                  </pic:blipFill>
                  <pic:spPr>
                    <a:xfrm>
                      <a:off x="0" y="0"/>
                      <a:ext cx="4396974" cy="2404713"/>
                    </a:xfrm>
                    <a:prstGeom prst="rect">
                      <a:avLst/>
                    </a:prstGeom>
                  </pic:spPr>
                </pic:pic>
              </a:graphicData>
            </a:graphic>
          </wp:inline>
        </w:drawing>
      </w:r>
    </w:p>
    <w:p w14:paraId="775C404B" w14:textId="2371CAAB" w:rsidR="00527759" w:rsidRPr="00C53FE2" w:rsidRDefault="00527759" w:rsidP="00CC3646">
      <w:pPr>
        <w:spacing w:after="0"/>
        <w:rPr>
          <w:rFonts w:ascii="Calibri" w:hAnsi="Calibri"/>
          <w:i/>
          <w:iCs/>
          <w:sz w:val="20"/>
          <w:szCs w:val="20"/>
        </w:rPr>
      </w:pPr>
      <w:r w:rsidRPr="00C53FE2">
        <w:rPr>
          <w:rFonts w:ascii="Calibri" w:hAnsi="Calibri"/>
          <w:i/>
          <w:iCs/>
          <w:sz w:val="20"/>
          <w:szCs w:val="20"/>
        </w:rPr>
        <w:t xml:space="preserve">Source: </w:t>
      </w:r>
      <w:hyperlink r:id="rId59" w:history="1">
        <w:r w:rsidRPr="00C53FE2">
          <w:rPr>
            <w:rFonts w:ascii="Calibri" w:hAnsi="Calibri"/>
            <w:i/>
            <w:iCs/>
            <w:color w:val="0563C1"/>
            <w:sz w:val="20"/>
            <w:szCs w:val="20"/>
            <w:u w:val="single"/>
          </w:rPr>
          <w:t>COE</w:t>
        </w:r>
      </w:hyperlink>
      <w:r w:rsidRPr="00C53FE2">
        <w:rPr>
          <w:rFonts w:ascii="Calibri" w:hAnsi="Calibri"/>
          <w:i/>
          <w:iCs/>
          <w:sz w:val="20"/>
          <w:szCs w:val="20"/>
        </w:rPr>
        <w:t>/</w:t>
      </w:r>
      <w:proofErr w:type="spellStart"/>
      <w:r w:rsidRPr="00C53FE2">
        <w:rPr>
          <w:rFonts w:ascii="Calibri" w:hAnsi="Calibri"/>
          <w:i/>
          <w:iCs/>
          <w:sz w:val="20"/>
          <w:szCs w:val="20"/>
        </w:rPr>
        <w:t>LightCast</w:t>
      </w:r>
      <w:proofErr w:type="spellEnd"/>
      <w:r w:rsidRPr="00C53FE2">
        <w:rPr>
          <w:rFonts w:ascii="Calibri" w:hAnsi="Calibri"/>
          <w:i/>
          <w:iCs/>
          <w:sz w:val="20"/>
          <w:szCs w:val="20"/>
        </w:rPr>
        <w:t xml:space="preserve"> 2023</w:t>
      </w:r>
      <w:r w:rsidR="002E038F">
        <w:rPr>
          <w:rFonts w:ascii="Calibri" w:hAnsi="Calibri"/>
          <w:i/>
          <w:iCs/>
          <w:sz w:val="20"/>
          <w:szCs w:val="20"/>
        </w:rPr>
        <w:t>.</w:t>
      </w:r>
    </w:p>
    <w:p w14:paraId="291B65B3" w14:textId="77777777" w:rsidR="00527759" w:rsidRPr="00C53FE2" w:rsidRDefault="00527759" w:rsidP="00527759">
      <w:pPr>
        <w:rPr>
          <w:rFonts w:ascii="Calibri" w:hAnsi="Calibri"/>
        </w:rPr>
      </w:pPr>
      <w:r w:rsidRPr="00C53FE2">
        <w:rPr>
          <w:rFonts w:ascii="Calibri" w:hAnsi="Calibri"/>
        </w:rPr>
        <w:t>This chart shows the undersupply of trained workers in the South-Central Valley/Southern Mother Lode Region (the comparison between workforce demand (annual job openings) and postsecondary supply (average annual awards) for each sector showing gaps in the number of workers to fill openings). The jobs under consideration all require more than a high school diploma but less than a Bachelor degree. The region under consideration includes the following Colleges: Clovis Community College, Fresno City College, Reedley College, College of the Sequoias, West Hills Colleges, Porterville College, Bakersfield College, and Taft College.</w:t>
      </w:r>
    </w:p>
    <w:p w14:paraId="1B193F99" w14:textId="77777777" w:rsidR="00527759" w:rsidRPr="00C53FE2" w:rsidRDefault="00527759" w:rsidP="00527759">
      <w:pPr>
        <w:rPr>
          <w:rFonts w:ascii="Calibri" w:hAnsi="Calibri"/>
        </w:rPr>
      </w:pPr>
      <w:r w:rsidRPr="00C53FE2">
        <w:rPr>
          <w:rFonts w:ascii="Calibri" w:hAnsi="Calibri"/>
        </w:rPr>
        <w:t>The three sectors with the greatest number of annual openings also have the largest potential gaps in workforce supply in the region:</w:t>
      </w:r>
    </w:p>
    <w:p w14:paraId="32A99392" w14:textId="77777777" w:rsidR="00527759" w:rsidRPr="00C53FE2" w:rsidRDefault="00527759" w:rsidP="005761F9">
      <w:pPr>
        <w:numPr>
          <w:ilvl w:val="0"/>
          <w:numId w:val="24"/>
        </w:numPr>
        <w:spacing w:after="0"/>
        <w:contextualSpacing/>
        <w:rPr>
          <w:rFonts w:ascii="Calibri" w:hAnsi="Calibri"/>
        </w:rPr>
      </w:pPr>
      <w:r w:rsidRPr="00C53FE2">
        <w:rPr>
          <w:rFonts w:ascii="Calibri" w:hAnsi="Calibri"/>
        </w:rPr>
        <w:t>Health, a shortage of 17,062 workers</w:t>
      </w:r>
    </w:p>
    <w:p w14:paraId="2E8F0A5A" w14:textId="77777777" w:rsidR="00527759" w:rsidRPr="00C53FE2" w:rsidRDefault="00527759" w:rsidP="005761F9">
      <w:pPr>
        <w:numPr>
          <w:ilvl w:val="0"/>
          <w:numId w:val="24"/>
        </w:numPr>
        <w:spacing w:after="0"/>
        <w:contextualSpacing/>
        <w:rPr>
          <w:rFonts w:ascii="Calibri" w:hAnsi="Calibri"/>
        </w:rPr>
      </w:pPr>
      <w:r w:rsidRPr="00C53FE2">
        <w:rPr>
          <w:rFonts w:ascii="Calibri" w:hAnsi="Calibri"/>
        </w:rPr>
        <w:t>Business and Entrepreneurship, a shortage of 11,978 workers</w:t>
      </w:r>
    </w:p>
    <w:p w14:paraId="408CEF05" w14:textId="77777777" w:rsidR="00527759" w:rsidRPr="00C53FE2" w:rsidRDefault="00527759" w:rsidP="005761F9">
      <w:pPr>
        <w:numPr>
          <w:ilvl w:val="0"/>
          <w:numId w:val="24"/>
        </w:numPr>
        <w:spacing w:after="0"/>
        <w:contextualSpacing/>
        <w:rPr>
          <w:rFonts w:ascii="Calibri" w:hAnsi="Calibri"/>
        </w:rPr>
      </w:pPr>
      <w:r w:rsidRPr="00C53FE2">
        <w:rPr>
          <w:rFonts w:ascii="Calibri" w:hAnsi="Calibri"/>
        </w:rPr>
        <w:t>Energy, Construction and Utilities, a shortage of 7,239 workers</w:t>
      </w:r>
    </w:p>
    <w:p w14:paraId="79BA61DD" w14:textId="77777777" w:rsidR="00527759" w:rsidRPr="00C53FE2" w:rsidRDefault="00527759" w:rsidP="00527759">
      <w:pPr>
        <w:ind w:left="720"/>
        <w:contextualSpacing/>
        <w:rPr>
          <w:rFonts w:ascii="Calibri" w:hAnsi="Calibri"/>
        </w:rPr>
      </w:pPr>
    </w:p>
    <w:p w14:paraId="7E494D53" w14:textId="60706C9C" w:rsidR="00527759" w:rsidRDefault="00885196" w:rsidP="00527759">
      <w:pPr>
        <w:rPr>
          <w:rFonts w:ascii="Calibri" w:hAnsi="Calibri"/>
          <w:i/>
          <w:iCs/>
          <w:color w:val="0563C1"/>
          <w:sz w:val="20"/>
          <w:szCs w:val="20"/>
          <w:u w:val="single"/>
        </w:rPr>
      </w:pPr>
      <w:r>
        <w:rPr>
          <w:rFonts w:ascii="Calibri" w:hAnsi="Calibri"/>
          <w:i/>
          <w:iCs/>
          <w:sz w:val="20"/>
          <w:szCs w:val="20"/>
        </w:rPr>
        <w:t xml:space="preserve">Note: </w:t>
      </w:r>
      <w:r w:rsidR="00527759" w:rsidRPr="00C53FE2">
        <w:rPr>
          <w:rFonts w:ascii="Calibri" w:hAnsi="Calibri"/>
          <w:i/>
          <w:iCs/>
          <w:sz w:val="20"/>
          <w:szCs w:val="20"/>
        </w:rPr>
        <w:t xml:space="preserve">For more detailed information about the ten highlighted sectors and associated occupations, which are expected to offer eighty thousand job openings annually in the region, access the full report: </w:t>
      </w:r>
      <w:hyperlink r:id="rId60" w:history="1">
        <w:r w:rsidR="00527759" w:rsidRPr="00C53FE2">
          <w:rPr>
            <w:rFonts w:ascii="Calibri" w:hAnsi="Calibri"/>
            <w:i/>
            <w:iCs/>
            <w:color w:val="0563C1"/>
            <w:sz w:val="20"/>
            <w:szCs w:val="20"/>
            <w:u w:val="single"/>
          </w:rPr>
          <w:t>Subregional Labor Market Overview: South Central Valley/Southern Mother Lode, 2023</w:t>
        </w:r>
      </w:hyperlink>
      <w:bookmarkStart w:id="210" w:name="_Toc168762747"/>
    </w:p>
    <w:p w14:paraId="5D2854AC" w14:textId="77777777" w:rsidR="00527759" w:rsidRDefault="00527759" w:rsidP="00527759">
      <w:pPr>
        <w:rPr>
          <w:rFonts w:ascii="Calibri" w:hAnsi="Calibri"/>
          <w:i/>
          <w:iCs/>
          <w:color w:val="0563C1"/>
          <w:sz w:val="20"/>
          <w:szCs w:val="20"/>
          <w:u w:val="single"/>
        </w:rPr>
      </w:pPr>
    </w:p>
    <w:p w14:paraId="6F453D7F" w14:textId="77777777" w:rsidR="00527759" w:rsidRPr="00393A08" w:rsidRDefault="00527759" w:rsidP="00091694">
      <w:pPr>
        <w:rPr>
          <w:rFonts w:ascii="Calibri" w:hAnsi="Calibri"/>
          <w:i/>
          <w:iCs/>
          <w:sz w:val="20"/>
          <w:szCs w:val="20"/>
        </w:rPr>
      </w:pPr>
      <w:bookmarkStart w:id="211" w:name="_Toc194324249"/>
      <w:r w:rsidRPr="00C53FE2">
        <w:t>In-Demand Occupations, South Central Valley/Southern Mother Lode, 2023</w:t>
      </w:r>
      <w:bookmarkEnd w:id="210"/>
      <w:bookmarkEnd w:id="211"/>
    </w:p>
    <w:p w14:paraId="4E552A5F" w14:textId="77777777" w:rsidR="00527759" w:rsidRPr="00C53FE2" w:rsidRDefault="00527759" w:rsidP="00527759">
      <w:pPr>
        <w:jc w:val="center"/>
        <w:rPr>
          <w:rFonts w:ascii="Calibri" w:hAnsi="Calibri"/>
          <w:i/>
          <w:iCs/>
          <w:sz w:val="20"/>
          <w:szCs w:val="20"/>
        </w:rPr>
      </w:pPr>
      <w:r w:rsidRPr="00C53FE2">
        <w:rPr>
          <w:rFonts w:ascii="Calibri" w:hAnsi="Calibri"/>
          <w:i/>
          <w:iCs/>
          <w:noProof/>
          <w:sz w:val="20"/>
          <w:szCs w:val="20"/>
        </w:rPr>
        <w:lastRenderedPageBreak/>
        <w:drawing>
          <wp:inline distT="0" distB="0" distL="0" distR="0" wp14:anchorId="7E919BD5" wp14:editId="331443A6">
            <wp:extent cx="4260850" cy="2883357"/>
            <wp:effectExtent l="0" t="0" r="6350" b="0"/>
            <wp:docPr id="1815960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31692" name=""/>
                    <pic:cNvPicPr/>
                  </pic:nvPicPr>
                  <pic:blipFill>
                    <a:blip r:embed="rId61"/>
                    <a:stretch>
                      <a:fillRect/>
                    </a:stretch>
                  </pic:blipFill>
                  <pic:spPr>
                    <a:xfrm>
                      <a:off x="0" y="0"/>
                      <a:ext cx="4260850" cy="2883357"/>
                    </a:xfrm>
                    <a:prstGeom prst="rect">
                      <a:avLst/>
                    </a:prstGeom>
                  </pic:spPr>
                </pic:pic>
              </a:graphicData>
            </a:graphic>
          </wp:inline>
        </w:drawing>
      </w:r>
    </w:p>
    <w:p w14:paraId="2F7FCD18" w14:textId="372BA59D" w:rsidR="00527759" w:rsidRPr="002E038F" w:rsidRDefault="00527759" w:rsidP="00527759">
      <w:pPr>
        <w:rPr>
          <w:rFonts w:ascii="Calibri" w:hAnsi="Calibri"/>
          <w:i/>
          <w:iCs/>
          <w:sz w:val="20"/>
          <w:szCs w:val="20"/>
        </w:rPr>
      </w:pPr>
      <w:r w:rsidRPr="00C53FE2">
        <w:rPr>
          <w:rFonts w:ascii="Calibri" w:hAnsi="Calibri"/>
          <w:i/>
          <w:iCs/>
          <w:sz w:val="20"/>
          <w:szCs w:val="20"/>
        </w:rPr>
        <w:t xml:space="preserve">Source: </w:t>
      </w:r>
      <w:hyperlink r:id="rId62" w:history="1">
        <w:r w:rsidRPr="00C53FE2">
          <w:rPr>
            <w:rFonts w:ascii="Calibri" w:hAnsi="Calibri"/>
            <w:i/>
            <w:iCs/>
            <w:color w:val="0563C1"/>
            <w:sz w:val="20"/>
            <w:szCs w:val="20"/>
            <w:u w:val="single"/>
          </w:rPr>
          <w:t>COE</w:t>
        </w:r>
      </w:hyperlink>
      <w:r w:rsidRPr="00C53FE2">
        <w:rPr>
          <w:rFonts w:ascii="Calibri" w:hAnsi="Calibri"/>
          <w:i/>
          <w:iCs/>
          <w:sz w:val="20"/>
          <w:szCs w:val="20"/>
        </w:rPr>
        <w:t>/</w:t>
      </w:r>
      <w:proofErr w:type="spellStart"/>
      <w:r w:rsidRPr="00C53FE2">
        <w:rPr>
          <w:rFonts w:ascii="Calibri" w:hAnsi="Calibri"/>
          <w:i/>
          <w:iCs/>
          <w:sz w:val="20"/>
          <w:szCs w:val="20"/>
        </w:rPr>
        <w:t>LightCast</w:t>
      </w:r>
      <w:proofErr w:type="spellEnd"/>
      <w:r w:rsidRPr="00C53FE2">
        <w:rPr>
          <w:rFonts w:ascii="Calibri" w:hAnsi="Calibri"/>
          <w:i/>
          <w:iCs/>
          <w:sz w:val="20"/>
          <w:szCs w:val="20"/>
        </w:rPr>
        <w:t xml:space="preserve"> 2023</w:t>
      </w:r>
      <w:r w:rsidR="002E038F">
        <w:rPr>
          <w:rFonts w:ascii="Calibri" w:hAnsi="Calibri"/>
          <w:i/>
          <w:iCs/>
          <w:sz w:val="20"/>
          <w:szCs w:val="20"/>
        </w:rPr>
        <w:t>.</w:t>
      </w:r>
    </w:p>
    <w:p w14:paraId="54EBDB39" w14:textId="77777777" w:rsidR="00527759" w:rsidRPr="00C53FE2" w:rsidRDefault="00527759" w:rsidP="00527759">
      <w:pPr>
        <w:rPr>
          <w:rFonts w:ascii="Calibri" w:hAnsi="Calibri"/>
        </w:rPr>
      </w:pPr>
      <w:r w:rsidRPr="00C53FE2">
        <w:rPr>
          <w:rFonts w:ascii="Calibri" w:hAnsi="Calibri"/>
        </w:rPr>
        <w:t>The ten occupations with the most annual openings across all sectors in the South-Central Valley/Southern Mother Lode region are listed above. These highly in-demand jobs can provide a promising entry-point for students transitioning to the workforce.</w:t>
      </w:r>
    </w:p>
    <w:p w14:paraId="7745FAD0" w14:textId="77777777" w:rsidR="00527759" w:rsidRPr="00C53FE2" w:rsidRDefault="00527759" w:rsidP="00091694">
      <w:bookmarkStart w:id="212" w:name="_Toc168762748"/>
      <w:bookmarkStart w:id="213" w:name="_Toc194324250"/>
      <w:r w:rsidRPr="00C53FE2">
        <w:t>Well-Paid Occupations, South Central Valley/Southern Mother Lode, 2023</w:t>
      </w:r>
      <w:bookmarkEnd w:id="212"/>
      <w:bookmarkEnd w:id="213"/>
    </w:p>
    <w:p w14:paraId="62385720" w14:textId="77777777" w:rsidR="002E038F" w:rsidRDefault="00527759" w:rsidP="002E038F">
      <w:pPr>
        <w:jc w:val="center"/>
        <w:rPr>
          <w:rFonts w:ascii="Calibri" w:hAnsi="Calibri"/>
          <w:i/>
          <w:iCs/>
          <w:sz w:val="20"/>
          <w:szCs w:val="20"/>
        </w:rPr>
      </w:pPr>
      <w:r w:rsidRPr="00C53FE2">
        <w:rPr>
          <w:rFonts w:ascii="Calibri" w:hAnsi="Calibri"/>
          <w:i/>
          <w:iCs/>
          <w:noProof/>
          <w:sz w:val="20"/>
          <w:szCs w:val="20"/>
        </w:rPr>
        <w:drawing>
          <wp:inline distT="0" distB="0" distL="0" distR="0" wp14:anchorId="2B740827" wp14:editId="1D6999A3">
            <wp:extent cx="4577049" cy="3097332"/>
            <wp:effectExtent l="0" t="0" r="0" b="8255"/>
            <wp:docPr id="1125995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73714" name=""/>
                    <pic:cNvPicPr/>
                  </pic:nvPicPr>
                  <pic:blipFill>
                    <a:blip r:embed="rId63"/>
                    <a:stretch>
                      <a:fillRect/>
                    </a:stretch>
                  </pic:blipFill>
                  <pic:spPr>
                    <a:xfrm>
                      <a:off x="0" y="0"/>
                      <a:ext cx="4633829" cy="3135755"/>
                    </a:xfrm>
                    <a:prstGeom prst="rect">
                      <a:avLst/>
                    </a:prstGeom>
                  </pic:spPr>
                </pic:pic>
              </a:graphicData>
            </a:graphic>
          </wp:inline>
        </w:drawing>
      </w:r>
    </w:p>
    <w:p w14:paraId="5AB14143" w14:textId="27AAD453" w:rsidR="00527759" w:rsidRPr="00C53FE2" w:rsidRDefault="00527759" w:rsidP="002E038F">
      <w:pPr>
        <w:rPr>
          <w:rFonts w:ascii="Calibri" w:hAnsi="Calibri"/>
          <w:i/>
          <w:iCs/>
          <w:sz w:val="20"/>
          <w:szCs w:val="20"/>
        </w:rPr>
      </w:pPr>
      <w:r w:rsidRPr="00C53FE2">
        <w:rPr>
          <w:rFonts w:ascii="Calibri" w:hAnsi="Calibri"/>
          <w:i/>
          <w:iCs/>
          <w:sz w:val="20"/>
          <w:szCs w:val="20"/>
        </w:rPr>
        <w:t xml:space="preserve">Source: </w:t>
      </w:r>
      <w:hyperlink r:id="rId64" w:history="1">
        <w:r w:rsidRPr="00C53FE2">
          <w:rPr>
            <w:rFonts w:ascii="Calibri" w:hAnsi="Calibri"/>
            <w:i/>
            <w:iCs/>
            <w:color w:val="0563C1"/>
            <w:sz w:val="20"/>
            <w:szCs w:val="20"/>
            <w:u w:val="single"/>
          </w:rPr>
          <w:t>COE</w:t>
        </w:r>
      </w:hyperlink>
      <w:r w:rsidRPr="00C53FE2">
        <w:rPr>
          <w:rFonts w:ascii="Calibri" w:hAnsi="Calibri"/>
          <w:i/>
          <w:iCs/>
          <w:sz w:val="20"/>
          <w:szCs w:val="20"/>
        </w:rPr>
        <w:t>/</w:t>
      </w:r>
      <w:proofErr w:type="spellStart"/>
      <w:r w:rsidRPr="00C53FE2">
        <w:rPr>
          <w:rFonts w:ascii="Calibri" w:hAnsi="Calibri"/>
          <w:i/>
          <w:iCs/>
          <w:sz w:val="20"/>
          <w:szCs w:val="20"/>
        </w:rPr>
        <w:t>LightCast</w:t>
      </w:r>
      <w:proofErr w:type="spellEnd"/>
      <w:r w:rsidRPr="00C53FE2">
        <w:rPr>
          <w:rFonts w:ascii="Calibri" w:hAnsi="Calibri"/>
          <w:i/>
          <w:iCs/>
          <w:sz w:val="20"/>
          <w:szCs w:val="20"/>
        </w:rPr>
        <w:t xml:space="preserve"> 2023</w:t>
      </w:r>
      <w:r w:rsidR="002E038F">
        <w:rPr>
          <w:rFonts w:ascii="Calibri" w:hAnsi="Calibri"/>
          <w:i/>
          <w:iCs/>
          <w:sz w:val="20"/>
          <w:szCs w:val="20"/>
        </w:rPr>
        <w:t>.</w:t>
      </w:r>
    </w:p>
    <w:p w14:paraId="6E257CAD" w14:textId="24F764FA" w:rsidR="00527759" w:rsidRDefault="00527759" w:rsidP="00527759">
      <w:pPr>
        <w:rPr>
          <w:rFonts w:ascii="Calibri" w:hAnsi="Calibri"/>
        </w:rPr>
      </w:pPr>
      <w:r w:rsidRPr="00C53FE2">
        <w:rPr>
          <w:rFonts w:ascii="Calibri" w:hAnsi="Calibri"/>
        </w:rPr>
        <w:t>The list above shows the 12 occupations in the Southern Central Valley/South Mother Lode region that pay median wages above $40/hour and that have more than 50 annual openings. Programs training for these occupations would provide students with the opportunity to advance economically. Many of these occupations are supervisory/managerial and multiple are in the Public Safety and Advanced Transportation &amp; Logistics sectors.</w:t>
      </w:r>
    </w:p>
    <w:p w14:paraId="2F2CE7BE" w14:textId="77777777" w:rsidR="00527759" w:rsidRDefault="00527759" w:rsidP="00527759">
      <w:pPr>
        <w:rPr>
          <w:rFonts w:ascii="Calibri" w:hAnsi="Calibri"/>
        </w:rPr>
      </w:pPr>
    </w:p>
    <w:p w14:paraId="68C33744" w14:textId="77777777" w:rsidR="00527759" w:rsidRDefault="00527759" w:rsidP="00527759">
      <w:pPr>
        <w:rPr>
          <w:rFonts w:ascii="Calibri" w:eastAsia="DengXian Light" w:hAnsi="Calibri" w:cs="Calibri"/>
          <w:b/>
          <w:bCs/>
          <w:color w:val="FF9900"/>
          <w:sz w:val="28"/>
          <w:szCs w:val="28"/>
        </w:rPr>
      </w:pPr>
      <w:r>
        <w:br w:type="page"/>
      </w:r>
    </w:p>
    <w:p w14:paraId="242C2457" w14:textId="77777777" w:rsidR="00527759" w:rsidRPr="00C53FE2" w:rsidRDefault="00527759" w:rsidP="00091694">
      <w:bookmarkStart w:id="214" w:name="_Toc194324251"/>
      <w:r>
        <w:lastRenderedPageBreak/>
        <w:t>Remote Jobs</w:t>
      </w:r>
      <w:bookmarkEnd w:id="214"/>
    </w:p>
    <w:p w14:paraId="4C7AE204" w14:textId="6D78A0D3" w:rsidR="00527759" w:rsidRDefault="00527759" w:rsidP="00527759">
      <w:pPr>
        <w:rPr>
          <w:rFonts w:ascii="Calibri" w:hAnsi="Calibri"/>
        </w:rPr>
      </w:pPr>
      <w:r>
        <w:rPr>
          <w:rFonts w:ascii="Calibri" w:hAnsi="Calibri"/>
        </w:rPr>
        <w:t xml:space="preserve">The </w:t>
      </w:r>
      <w:r w:rsidR="00BC2144">
        <w:rPr>
          <w:rFonts w:ascii="Calibri" w:hAnsi="Calibri"/>
        </w:rPr>
        <w:t>COVID-19 pandemic</w:t>
      </w:r>
      <w:r>
        <w:rPr>
          <w:rFonts w:ascii="Calibri" w:hAnsi="Calibri"/>
        </w:rPr>
        <w:t xml:space="preserve"> caused both work and school to shift to online platforms. Since then, work and school have maintained more of an online presence than before the Pandemic.</w:t>
      </w:r>
    </w:p>
    <w:p w14:paraId="213D8713" w14:textId="77777777" w:rsidR="00527759" w:rsidRDefault="00527759" w:rsidP="00527759">
      <w:pPr>
        <w:rPr>
          <w:rFonts w:ascii="Calibri" w:hAnsi="Calibri"/>
        </w:rPr>
      </w:pPr>
      <w:r>
        <w:rPr>
          <w:rFonts w:ascii="Calibri" w:hAnsi="Calibri"/>
        </w:rPr>
        <w:t>Citing census data and the US Bureau of Labor Statistics and other sources, Forbes Advisor (updated June 12, 2023) identified the following key remote work statistics:</w:t>
      </w:r>
    </w:p>
    <w:p w14:paraId="5073B2A7" w14:textId="77777777" w:rsidR="00527759" w:rsidRPr="00153426" w:rsidRDefault="00527759" w:rsidP="005761F9">
      <w:pPr>
        <w:pStyle w:val="ListParagraph"/>
        <w:numPr>
          <w:ilvl w:val="0"/>
          <w:numId w:val="30"/>
        </w:numPr>
        <w:rPr>
          <w:rFonts w:ascii="Calibri" w:hAnsi="Calibri"/>
        </w:rPr>
      </w:pPr>
      <w:r w:rsidRPr="00153426">
        <w:rPr>
          <w:rFonts w:ascii="Calibri" w:hAnsi="Calibri"/>
        </w:rPr>
        <w:t xml:space="preserve">One in five workers nationally </w:t>
      </w:r>
      <w:proofErr w:type="gramStart"/>
      <w:r w:rsidRPr="00153426">
        <w:rPr>
          <w:rFonts w:ascii="Calibri" w:hAnsi="Calibri"/>
        </w:rPr>
        <w:t>is</w:t>
      </w:r>
      <w:proofErr w:type="gramEnd"/>
      <w:r w:rsidRPr="00153426">
        <w:rPr>
          <w:rFonts w:ascii="Calibri" w:hAnsi="Calibri"/>
        </w:rPr>
        <w:t xml:space="preserve"> working remotely</w:t>
      </w:r>
    </w:p>
    <w:p w14:paraId="019986D7" w14:textId="77777777" w:rsidR="00527759" w:rsidRPr="00153426" w:rsidRDefault="00527759" w:rsidP="005761F9">
      <w:pPr>
        <w:pStyle w:val="ListParagraph"/>
        <w:numPr>
          <w:ilvl w:val="0"/>
          <w:numId w:val="30"/>
        </w:numPr>
        <w:rPr>
          <w:rFonts w:ascii="Calibri" w:hAnsi="Calibri"/>
        </w:rPr>
      </w:pPr>
      <w:r w:rsidRPr="00153426">
        <w:rPr>
          <w:rFonts w:ascii="Calibri" w:hAnsi="Calibri"/>
        </w:rPr>
        <w:t>16% of companies are fully remote, operating without a physical office</w:t>
      </w:r>
    </w:p>
    <w:p w14:paraId="79D6953B" w14:textId="77777777" w:rsidR="00527759" w:rsidRDefault="00527759" w:rsidP="005761F9">
      <w:pPr>
        <w:pStyle w:val="ListParagraph"/>
        <w:numPr>
          <w:ilvl w:val="0"/>
          <w:numId w:val="30"/>
        </w:numPr>
        <w:rPr>
          <w:rFonts w:ascii="Calibri" w:hAnsi="Calibri"/>
        </w:rPr>
      </w:pPr>
      <w:r w:rsidRPr="00153426">
        <w:rPr>
          <w:rFonts w:ascii="Calibri" w:hAnsi="Calibri"/>
        </w:rPr>
        <w:t>The highest percentage of remote workers are aged 24 to 35 – within this age group, 39% work remotely full-time and 25% do so part time</w:t>
      </w:r>
    </w:p>
    <w:p w14:paraId="3828024E" w14:textId="5FA0362A" w:rsidR="00527759" w:rsidRPr="002E038F" w:rsidRDefault="00527759" w:rsidP="00885196">
      <w:pPr>
        <w:rPr>
          <w:i/>
          <w:iCs/>
          <w:sz w:val="20"/>
          <w:szCs w:val="20"/>
        </w:rPr>
      </w:pPr>
      <w:r w:rsidRPr="002E038F">
        <w:rPr>
          <w:i/>
          <w:iCs/>
          <w:sz w:val="20"/>
          <w:szCs w:val="20"/>
        </w:rPr>
        <w:t>Source: https://www.forbes.com/advisor/business/remote-work-statistics/#sources_section</w:t>
      </w:r>
      <w:r w:rsidR="002E038F">
        <w:rPr>
          <w:i/>
          <w:iCs/>
          <w:sz w:val="20"/>
          <w:szCs w:val="20"/>
        </w:rPr>
        <w:t>.</w:t>
      </w:r>
    </w:p>
    <w:p w14:paraId="71ED31BD" w14:textId="77777777" w:rsidR="00527759" w:rsidRDefault="00527759" w:rsidP="00527759">
      <w:pPr>
        <w:rPr>
          <w:rFonts w:ascii="Calibri" w:hAnsi="Calibri"/>
        </w:rPr>
      </w:pPr>
    </w:p>
    <w:tbl>
      <w:tblPr>
        <w:tblStyle w:val="TableGrid"/>
        <w:tblW w:w="0" w:type="auto"/>
        <w:tblInd w:w="625" w:type="dxa"/>
        <w:tblLook w:val="04A0" w:firstRow="1" w:lastRow="0" w:firstColumn="1" w:lastColumn="0" w:noHBand="0" w:noVBand="1"/>
      </w:tblPr>
      <w:tblGrid>
        <w:gridCol w:w="3780"/>
        <w:gridCol w:w="3870"/>
      </w:tblGrid>
      <w:tr w:rsidR="00527759" w14:paraId="0ED4A69A" w14:textId="77777777" w:rsidTr="00B13ECD">
        <w:tc>
          <w:tcPr>
            <w:tcW w:w="3780" w:type="dxa"/>
            <w:shd w:val="clear" w:color="auto" w:fill="C45911" w:themeFill="accent2" w:themeFillShade="BF"/>
          </w:tcPr>
          <w:p w14:paraId="339A23D6" w14:textId="77777777" w:rsidR="00527759" w:rsidRPr="00EE2F61" w:rsidRDefault="00527759" w:rsidP="00B13ECD">
            <w:pPr>
              <w:jc w:val="center"/>
              <w:rPr>
                <w:rFonts w:ascii="Calibri" w:hAnsi="Calibri"/>
                <w:i/>
                <w:iCs/>
                <w:color w:val="FFFFFF" w:themeColor="background1"/>
              </w:rPr>
            </w:pPr>
            <w:r w:rsidRPr="00EE2F61">
              <w:rPr>
                <w:rFonts w:ascii="Calibri" w:hAnsi="Calibri"/>
                <w:i/>
                <w:iCs/>
                <w:color w:val="FFFFFF" w:themeColor="background1"/>
              </w:rPr>
              <w:t>Top Industries for Remote Work in 2024</w:t>
            </w:r>
          </w:p>
        </w:tc>
        <w:tc>
          <w:tcPr>
            <w:tcW w:w="3870" w:type="dxa"/>
            <w:shd w:val="clear" w:color="auto" w:fill="C45911" w:themeFill="accent2" w:themeFillShade="BF"/>
          </w:tcPr>
          <w:p w14:paraId="3B5D8C1A" w14:textId="77777777" w:rsidR="00527759" w:rsidRPr="00EE2F61" w:rsidRDefault="00527759" w:rsidP="00B13ECD">
            <w:pPr>
              <w:jc w:val="center"/>
              <w:rPr>
                <w:rFonts w:ascii="Calibri" w:hAnsi="Calibri"/>
                <w:i/>
                <w:iCs/>
                <w:color w:val="FFFFFF" w:themeColor="background1"/>
              </w:rPr>
            </w:pPr>
            <w:r w:rsidRPr="00EE2F61">
              <w:rPr>
                <w:i/>
                <w:iCs/>
                <w:color w:val="FFFFFF" w:themeColor="background1"/>
              </w:rPr>
              <w:t>Top Remote Job Titles</w:t>
            </w:r>
          </w:p>
        </w:tc>
      </w:tr>
      <w:tr w:rsidR="00527759" w14:paraId="14D39AA6" w14:textId="77777777" w:rsidTr="00B13ECD">
        <w:tc>
          <w:tcPr>
            <w:tcW w:w="3780" w:type="dxa"/>
          </w:tcPr>
          <w:p w14:paraId="0F081DAB" w14:textId="77777777" w:rsidR="00527759" w:rsidRPr="00613BB8" w:rsidRDefault="00527759" w:rsidP="005761F9">
            <w:pPr>
              <w:pStyle w:val="ListParagraph"/>
              <w:numPr>
                <w:ilvl w:val="0"/>
                <w:numId w:val="34"/>
              </w:numPr>
              <w:rPr>
                <w:rFonts w:ascii="Calibri" w:hAnsi="Calibri"/>
              </w:rPr>
            </w:pPr>
            <w:r>
              <w:rPr>
                <w:rFonts w:ascii="Calibri" w:hAnsi="Calibri"/>
              </w:rPr>
              <w:t>Computer &amp; IT</w:t>
            </w:r>
          </w:p>
        </w:tc>
        <w:tc>
          <w:tcPr>
            <w:tcW w:w="3870" w:type="dxa"/>
          </w:tcPr>
          <w:p w14:paraId="4566D3AE" w14:textId="77777777" w:rsidR="00527759" w:rsidRPr="008B7C05" w:rsidRDefault="00527759" w:rsidP="005761F9">
            <w:pPr>
              <w:pStyle w:val="ListParagraph"/>
              <w:numPr>
                <w:ilvl w:val="0"/>
                <w:numId w:val="35"/>
              </w:numPr>
              <w:rPr>
                <w:rFonts w:ascii="Calibri" w:hAnsi="Calibri"/>
              </w:rPr>
            </w:pPr>
            <w:r w:rsidRPr="00F27E69">
              <w:t>Accountant</w:t>
            </w:r>
          </w:p>
        </w:tc>
      </w:tr>
      <w:tr w:rsidR="00527759" w14:paraId="4EEBD9B2" w14:textId="77777777" w:rsidTr="00B13ECD">
        <w:tc>
          <w:tcPr>
            <w:tcW w:w="3780" w:type="dxa"/>
            <w:shd w:val="clear" w:color="auto" w:fill="F7CAAC" w:themeFill="accent2" w:themeFillTint="66"/>
          </w:tcPr>
          <w:p w14:paraId="14E07D04" w14:textId="77777777" w:rsidR="00527759" w:rsidRPr="00613BB8" w:rsidRDefault="00527759" w:rsidP="005761F9">
            <w:pPr>
              <w:pStyle w:val="ListParagraph"/>
              <w:numPr>
                <w:ilvl w:val="0"/>
                <w:numId w:val="35"/>
              </w:numPr>
              <w:rPr>
                <w:rFonts w:ascii="Calibri" w:hAnsi="Calibri"/>
              </w:rPr>
            </w:pPr>
            <w:r>
              <w:rPr>
                <w:rFonts w:ascii="Calibri" w:hAnsi="Calibri"/>
              </w:rPr>
              <w:t>Accounting and Finance</w:t>
            </w:r>
          </w:p>
        </w:tc>
        <w:tc>
          <w:tcPr>
            <w:tcW w:w="3870" w:type="dxa"/>
            <w:shd w:val="clear" w:color="auto" w:fill="F7CAAC" w:themeFill="accent2" w:themeFillTint="66"/>
          </w:tcPr>
          <w:p w14:paraId="0328CA77" w14:textId="77777777" w:rsidR="00527759" w:rsidRDefault="00527759" w:rsidP="005761F9">
            <w:pPr>
              <w:pStyle w:val="ListParagraph"/>
              <w:numPr>
                <w:ilvl w:val="0"/>
                <w:numId w:val="36"/>
              </w:numPr>
              <w:rPr>
                <w:rFonts w:ascii="Calibri" w:hAnsi="Calibri"/>
              </w:rPr>
            </w:pPr>
            <w:r w:rsidRPr="00F27E69">
              <w:t>Executive Assistant</w:t>
            </w:r>
          </w:p>
        </w:tc>
      </w:tr>
      <w:tr w:rsidR="00527759" w14:paraId="361C9368" w14:textId="77777777" w:rsidTr="00B13ECD">
        <w:tc>
          <w:tcPr>
            <w:tcW w:w="3780" w:type="dxa"/>
          </w:tcPr>
          <w:p w14:paraId="490B70C9" w14:textId="77777777" w:rsidR="00527759" w:rsidRPr="00613BB8" w:rsidRDefault="00527759" w:rsidP="005761F9">
            <w:pPr>
              <w:pStyle w:val="ListParagraph"/>
              <w:numPr>
                <w:ilvl w:val="0"/>
                <w:numId w:val="36"/>
              </w:numPr>
              <w:rPr>
                <w:rFonts w:ascii="Calibri" w:hAnsi="Calibri"/>
              </w:rPr>
            </w:pPr>
            <w:r>
              <w:rPr>
                <w:rFonts w:ascii="Calibri" w:hAnsi="Calibri"/>
              </w:rPr>
              <w:t>Marketing</w:t>
            </w:r>
          </w:p>
        </w:tc>
        <w:tc>
          <w:tcPr>
            <w:tcW w:w="3870" w:type="dxa"/>
          </w:tcPr>
          <w:p w14:paraId="56F2A7CF" w14:textId="77777777" w:rsidR="00527759" w:rsidRPr="00C5081A" w:rsidRDefault="00527759" w:rsidP="005761F9">
            <w:pPr>
              <w:pStyle w:val="ListParagraph"/>
              <w:numPr>
                <w:ilvl w:val="0"/>
                <w:numId w:val="37"/>
              </w:numPr>
              <w:rPr>
                <w:rFonts w:ascii="Calibri" w:hAnsi="Calibri"/>
              </w:rPr>
            </w:pPr>
            <w:r w:rsidRPr="00F27E69">
              <w:t>Financial Analyst</w:t>
            </w:r>
          </w:p>
        </w:tc>
      </w:tr>
      <w:tr w:rsidR="00527759" w14:paraId="0B14E725" w14:textId="77777777" w:rsidTr="00B13ECD">
        <w:tc>
          <w:tcPr>
            <w:tcW w:w="3780" w:type="dxa"/>
            <w:shd w:val="clear" w:color="auto" w:fill="F7CAAC" w:themeFill="accent2" w:themeFillTint="66"/>
          </w:tcPr>
          <w:p w14:paraId="014FC325" w14:textId="77777777" w:rsidR="00527759" w:rsidRPr="00613BB8" w:rsidRDefault="00527759" w:rsidP="005761F9">
            <w:pPr>
              <w:pStyle w:val="ListParagraph"/>
              <w:numPr>
                <w:ilvl w:val="0"/>
                <w:numId w:val="37"/>
              </w:numPr>
              <w:rPr>
                <w:rFonts w:ascii="Calibri" w:hAnsi="Calibri"/>
              </w:rPr>
            </w:pPr>
            <w:r>
              <w:rPr>
                <w:rFonts w:ascii="Calibri" w:hAnsi="Calibri"/>
              </w:rPr>
              <w:t>Medical &amp; Health</w:t>
            </w:r>
          </w:p>
        </w:tc>
        <w:tc>
          <w:tcPr>
            <w:tcW w:w="3870" w:type="dxa"/>
            <w:shd w:val="clear" w:color="auto" w:fill="F7CAAC" w:themeFill="accent2" w:themeFillTint="66"/>
          </w:tcPr>
          <w:p w14:paraId="6BFE050E" w14:textId="77777777" w:rsidR="00527759" w:rsidRPr="006C2368" w:rsidRDefault="00527759" w:rsidP="005761F9">
            <w:pPr>
              <w:pStyle w:val="ListParagraph"/>
              <w:numPr>
                <w:ilvl w:val="0"/>
                <w:numId w:val="38"/>
              </w:numPr>
              <w:rPr>
                <w:rFonts w:ascii="Calibri" w:hAnsi="Calibri"/>
              </w:rPr>
            </w:pPr>
            <w:r w:rsidRPr="00F27E69">
              <w:t>Product Manager</w:t>
            </w:r>
          </w:p>
        </w:tc>
      </w:tr>
      <w:tr w:rsidR="00527759" w14:paraId="31BA9395" w14:textId="77777777" w:rsidTr="00B13ECD">
        <w:tc>
          <w:tcPr>
            <w:tcW w:w="3780" w:type="dxa"/>
          </w:tcPr>
          <w:p w14:paraId="3BF43B9A" w14:textId="77777777" w:rsidR="00527759" w:rsidRPr="00613BB8" w:rsidRDefault="00527759" w:rsidP="005761F9">
            <w:pPr>
              <w:pStyle w:val="ListParagraph"/>
              <w:numPr>
                <w:ilvl w:val="0"/>
                <w:numId w:val="38"/>
              </w:numPr>
              <w:rPr>
                <w:rFonts w:ascii="Calibri" w:hAnsi="Calibri"/>
              </w:rPr>
            </w:pPr>
            <w:r>
              <w:rPr>
                <w:rFonts w:ascii="Calibri" w:hAnsi="Calibri"/>
              </w:rPr>
              <w:t>Project Management</w:t>
            </w:r>
          </w:p>
        </w:tc>
        <w:tc>
          <w:tcPr>
            <w:tcW w:w="3870" w:type="dxa"/>
          </w:tcPr>
          <w:p w14:paraId="239F4F86" w14:textId="77777777" w:rsidR="00527759" w:rsidRDefault="00527759" w:rsidP="005761F9">
            <w:pPr>
              <w:pStyle w:val="ListParagraph"/>
              <w:numPr>
                <w:ilvl w:val="0"/>
                <w:numId w:val="39"/>
              </w:numPr>
              <w:rPr>
                <w:rFonts w:ascii="Calibri" w:hAnsi="Calibri"/>
              </w:rPr>
            </w:pPr>
            <w:r w:rsidRPr="00F27E69">
              <w:t>Customer Service Re</w:t>
            </w:r>
            <w:r>
              <w:t>p</w:t>
            </w:r>
          </w:p>
        </w:tc>
      </w:tr>
      <w:tr w:rsidR="00527759" w14:paraId="142F057C" w14:textId="77777777" w:rsidTr="00B13ECD">
        <w:tc>
          <w:tcPr>
            <w:tcW w:w="3780" w:type="dxa"/>
            <w:shd w:val="clear" w:color="auto" w:fill="F7CAAC" w:themeFill="accent2" w:themeFillTint="66"/>
          </w:tcPr>
          <w:p w14:paraId="5DBC950B" w14:textId="77777777" w:rsidR="00527759" w:rsidRPr="00613BB8" w:rsidRDefault="00527759" w:rsidP="005761F9">
            <w:pPr>
              <w:pStyle w:val="ListParagraph"/>
              <w:numPr>
                <w:ilvl w:val="0"/>
                <w:numId w:val="38"/>
              </w:numPr>
              <w:rPr>
                <w:rFonts w:ascii="Calibri" w:hAnsi="Calibri"/>
              </w:rPr>
            </w:pPr>
            <w:r>
              <w:rPr>
                <w:rFonts w:ascii="Calibri" w:hAnsi="Calibri"/>
              </w:rPr>
              <w:t>Customer Service</w:t>
            </w:r>
          </w:p>
        </w:tc>
        <w:tc>
          <w:tcPr>
            <w:tcW w:w="3870" w:type="dxa"/>
            <w:shd w:val="clear" w:color="auto" w:fill="F7CAAC" w:themeFill="accent2" w:themeFillTint="66"/>
          </w:tcPr>
          <w:p w14:paraId="26AE9FA3" w14:textId="77777777" w:rsidR="00527759" w:rsidRDefault="00527759" w:rsidP="005761F9">
            <w:pPr>
              <w:pStyle w:val="ListParagraph"/>
              <w:numPr>
                <w:ilvl w:val="0"/>
                <w:numId w:val="39"/>
              </w:numPr>
              <w:rPr>
                <w:rFonts w:ascii="Calibri" w:hAnsi="Calibri"/>
              </w:rPr>
            </w:pPr>
            <w:r w:rsidRPr="00F27E69">
              <w:t>Software Engineer</w:t>
            </w:r>
          </w:p>
        </w:tc>
      </w:tr>
      <w:tr w:rsidR="00527759" w14:paraId="234E4182" w14:textId="77777777" w:rsidTr="00B13ECD">
        <w:tc>
          <w:tcPr>
            <w:tcW w:w="3780" w:type="dxa"/>
          </w:tcPr>
          <w:p w14:paraId="6AF234A5" w14:textId="77777777" w:rsidR="00527759" w:rsidRPr="00613BB8" w:rsidRDefault="00527759" w:rsidP="005761F9">
            <w:pPr>
              <w:pStyle w:val="ListParagraph"/>
              <w:numPr>
                <w:ilvl w:val="0"/>
                <w:numId w:val="38"/>
              </w:numPr>
              <w:rPr>
                <w:rFonts w:ascii="Calibri" w:hAnsi="Calibri"/>
              </w:rPr>
            </w:pPr>
            <w:r>
              <w:rPr>
                <w:rFonts w:ascii="Calibri" w:hAnsi="Calibri"/>
              </w:rPr>
              <w:t>Sales</w:t>
            </w:r>
          </w:p>
        </w:tc>
        <w:tc>
          <w:tcPr>
            <w:tcW w:w="3870" w:type="dxa"/>
          </w:tcPr>
          <w:p w14:paraId="68DA8C89" w14:textId="77777777" w:rsidR="00527759" w:rsidRDefault="00527759" w:rsidP="005761F9">
            <w:pPr>
              <w:pStyle w:val="ListParagraph"/>
              <w:numPr>
                <w:ilvl w:val="0"/>
                <w:numId w:val="39"/>
              </w:numPr>
              <w:rPr>
                <w:rFonts w:ascii="Calibri" w:hAnsi="Calibri"/>
              </w:rPr>
            </w:pPr>
            <w:r w:rsidRPr="00F27E69">
              <w:t>Customer Success Manager</w:t>
            </w:r>
          </w:p>
        </w:tc>
      </w:tr>
      <w:tr w:rsidR="00527759" w14:paraId="69EA9A30" w14:textId="77777777" w:rsidTr="00B13ECD">
        <w:tc>
          <w:tcPr>
            <w:tcW w:w="3780" w:type="dxa"/>
            <w:shd w:val="clear" w:color="auto" w:fill="F7CAAC" w:themeFill="accent2" w:themeFillTint="66"/>
          </w:tcPr>
          <w:p w14:paraId="0C33D49F" w14:textId="77777777" w:rsidR="00527759" w:rsidRDefault="00527759" w:rsidP="005761F9">
            <w:pPr>
              <w:pStyle w:val="ListParagraph"/>
              <w:numPr>
                <w:ilvl w:val="0"/>
                <w:numId w:val="38"/>
              </w:numPr>
              <w:rPr>
                <w:rFonts w:ascii="Calibri" w:hAnsi="Calibri"/>
              </w:rPr>
            </w:pPr>
            <w:r>
              <w:rPr>
                <w:rFonts w:ascii="Calibri" w:hAnsi="Calibri"/>
              </w:rPr>
              <w:t>Administrative</w:t>
            </w:r>
          </w:p>
        </w:tc>
        <w:tc>
          <w:tcPr>
            <w:tcW w:w="3870" w:type="dxa"/>
            <w:shd w:val="clear" w:color="auto" w:fill="F7CAAC" w:themeFill="accent2" w:themeFillTint="66"/>
          </w:tcPr>
          <w:p w14:paraId="3B709AAC" w14:textId="77777777" w:rsidR="00527759" w:rsidRDefault="00527759" w:rsidP="005761F9">
            <w:pPr>
              <w:pStyle w:val="ListParagraph"/>
              <w:numPr>
                <w:ilvl w:val="0"/>
                <w:numId w:val="39"/>
              </w:numPr>
              <w:rPr>
                <w:rFonts w:ascii="Calibri" w:hAnsi="Calibri"/>
              </w:rPr>
            </w:pPr>
            <w:r w:rsidRPr="00F27E69">
              <w:t>Accounting Manager</w:t>
            </w:r>
          </w:p>
        </w:tc>
      </w:tr>
      <w:tr w:rsidR="00527759" w14:paraId="02C8D484" w14:textId="77777777" w:rsidTr="00B13ECD">
        <w:tc>
          <w:tcPr>
            <w:tcW w:w="3780" w:type="dxa"/>
          </w:tcPr>
          <w:p w14:paraId="682A1E3E" w14:textId="77777777" w:rsidR="00527759" w:rsidRDefault="00527759" w:rsidP="005761F9">
            <w:pPr>
              <w:pStyle w:val="ListParagraph"/>
              <w:numPr>
                <w:ilvl w:val="0"/>
                <w:numId w:val="38"/>
              </w:numPr>
              <w:rPr>
                <w:rFonts w:ascii="Calibri" w:hAnsi="Calibri"/>
              </w:rPr>
            </w:pPr>
            <w:r>
              <w:rPr>
                <w:rFonts w:ascii="Calibri" w:hAnsi="Calibri"/>
              </w:rPr>
              <w:t>HR &amp; Recruiting</w:t>
            </w:r>
          </w:p>
        </w:tc>
        <w:tc>
          <w:tcPr>
            <w:tcW w:w="3870" w:type="dxa"/>
          </w:tcPr>
          <w:p w14:paraId="32D72590" w14:textId="77777777" w:rsidR="00527759" w:rsidRDefault="00527759" w:rsidP="005761F9">
            <w:pPr>
              <w:pStyle w:val="ListParagraph"/>
              <w:numPr>
                <w:ilvl w:val="0"/>
                <w:numId w:val="39"/>
              </w:numPr>
              <w:rPr>
                <w:rFonts w:ascii="Calibri" w:hAnsi="Calibri"/>
              </w:rPr>
            </w:pPr>
            <w:r w:rsidRPr="00F27E69">
              <w:t>Product Designer</w:t>
            </w:r>
          </w:p>
        </w:tc>
      </w:tr>
      <w:tr w:rsidR="00527759" w14:paraId="3F40A993" w14:textId="77777777" w:rsidTr="00B13ECD">
        <w:tc>
          <w:tcPr>
            <w:tcW w:w="3780" w:type="dxa"/>
            <w:shd w:val="clear" w:color="auto" w:fill="F7CAAC" w:themeFill="accent2" w:themeFillTint="66"/>
          </w:tcPr>
          <w:p w14:paraId="6D8D7F34" w14:textId="77777777" w:rsidR="00527759" w:rsidRDefault="00527759" w:rsidP="005761F9">
            <w:pPr>
              <w:pStyle w:val="ListParagraph"/>
              <w:numPr>
                <w:ilvl w:val="0"/>
                <w:numId w:val="38"/>
              </w:numPr>
              <w:rPr>
                <w:rFonts w:ascii="Calibri" w:hAnsi="Calibri"/>
              </w:rPr>
            </w:pPr>
            <w:r>
              <w:rPr>
                <w:rFonts w:ascii="Calibri" w:hAnsi="Calibri"/>
              </w:rPr>
              <w:t>Operations</w:t>
            </w:r>
          </w:p>
        </w:tc>
        <w:tc>
          <w:tcPr>
            <w:tcW w:w="3870" w:type="dxa"/>
            <w:shd w:val="clear" w:color="auto" w:fill="F7CAAC" w:themeFill="accent2" w:themeFillTint="66"/>
          </w:tcPr>
          <w:p w14:paraId="6855D105" w14:textId="77777777" w:rsidR="00527759" w:rsidRDefault="00527759" w:rsidP="005761F9">
            <w:pPr>
              <w:pStyle w:val="ListParagraph"/>
              <w:numPr>
                <w:ilvl w:val="0"/>
                <w:numId w:val="39"/>
              </w:numPr>
              <w:rPr>
                <w:rFonts w:ascii="Calibri" w:hAnsi="Calibri"/>
              </w:rPr>
            </w:pPr>
            <w:r w:rsidRPr="00F27E69">
              <w:t>Writer</w:t>
            </w:r>
          </w:p>
        </w:tc>
      </w:tr>
    </w:tbl>
    <w:p w14:paraId="2EB63070" w14:textId="77777777" w:rsidR="00527759" w:rsidRPr="002E038F" w:rsidRDefault="00527759" w:rsidP="00885196">
      <w:pPr>
        <w:rPr>
          <w:rFonts w:ascii="Calibri" w:hAnsi="Calibri"/>
          <w:i/>
          <w:iCs/>
          <w:sz w:val="20"/>
          <w:szCs w:val="20"/>
        </w:rPr>
      </w:pPr>
      <w:r w:rsidRPr="002E038F">
        <w:rPr>
          <w:rFonts w:ascii="Calibri" w:hAnsi="Calibri"/>
          <w:i/>
          <w:iCs/>
          <w:sz w:val="20"/>
          <w:szCs w:val="20"/>
        </w:rPr>
        <w:t xml:space="preserve">Source: Quoted in </w:t>
      </w:r>
      <w:hyperlink r:id="rId65" w:anchor="sources_section" w:history="1">
        <w:r w:rsidRPr="002E038F">
          <w:rPr>
            <w:rStyle w:val="Hyperlink"/>
            <w:rFonts w:ascii="Calibri" w:hAnsi="Calibri"/>
            <w:i/>
            <w:iCs/>
            <w:sz w:val="20"/>
            <w:szCs w:val="20"/>
          </w:rPr>
          <w:t>Forbes</w:t>
        </w:r>
      </w:hyperlink>
    </w:p>
    <w:p w14:paraId="1E6D0FD5" w14:textId="77777777" w:rsidR="00527759" w:rsidRPr="002E038F" w:rsidRDefault="00527759" w:rsidP="00885196">
      <w:pPr>
        <w:rPr>
          <w:rFonts w:ascii="Calibri" w:hAnsi="Calibri"/>
          <w:i/>
          <w:iCs/>
          <w:sz w:val="20"/>
          <w:szCs w:val="20"/>
        </w:rPr>
      </w:pPr>
      <w:r w:rsidRPr="002E038F">
        <w:rPr>
          <w:rFonts w:ascii="Calibri" w:hAnsi="Calibri"/>
          <w:i/>
          <w:iCs/>
          <w:sz w:val="20"/>
          <w:szCs w:val="20"/>
        </w:rPr>
        <w:t xml:space="preserve">Original Source: </w:t>
      </w:r>
      <w:hyperlink r:id="rId66" w:history="1">
        <w:r w:rsidRPr="002E038F">
          <w:rPr>
            <w:rStyle w:val="Hyperlink"/>
            <w:rFonts w:ascii="Calibri" w:hAnsi="Calibri"/>
            <w:i/>
            <w:iCs/>
            <w:sz w:val="20"/>
            <w:szCs w:val="20"/>
          </w:rPr>
          <w:t>https://www.flexjobs.com/blog/post/100-top-companies-with-remote-jobs-in-2024/</w:t>
        </w:r>
      </w:hyperlink>
    </w:p>
    <w:p w14:paraId="59051B5F" w14:textId="77777777" w:rsidR="00527759" w:rsidRPr="00EE2F61" w:rsidRDefault="00527759" w:rsidP="00527759">
      <w:pPr>
        <w:spacing w:after="0"/>
        <w:rPr>
          <w:rFonts w:ascii="Calibri" w:hAnsi="Calibri"/>
          <w:i/>
          <w:iCs/>
        </w:rPr>
      </w:pPr>
    </w:p>
    <w:p w14:paraId="33F7DFCF" w14:textId="77777777" w:rsidR="00527759" w:rsidRDefault="00527759" w:rsidP="00527759">
      <w:pPr>
        <w:rPr>
          <w:rFonts w:ascii="Calibri" w:hAnsi="Calibri"/>
        </w:rPr>
      </w:pPr>
    </w:p>
    <w:p w14:paraId="4751C8F0" w14:textId="77777777" w:rsidR="00527759" w:rsidRPr="00C53FE2" w:rsidRDefault="00527759" w:rsidP="00527759">
      <w:pPr>
        <w:rPr>
          <w:rFonts w:ascii="Calibri" w:hAnsi="Calibri"/>
        </w:rPr>
      </w:pPr>
    </w:p>
    <w:p w14:paraId="279676A1" w14:textId="77777777" w:rsidR="00527759" w:rsidRPr="00C53FE2" w:rsidRDefault="00527759" w:rsidP="00F16EFC">
      <w:pPr>
        <w:rPr>
          <w:rFonts w:eastAsia="DengXian Light"/>
        </w:rPr>
      </w:pPr>
    </w:p>
    <w:p w14:paraId="5251D75A" w14:textId="77777777" w:rsidR="00527759" w:rsidRPr="00C53FE2" w:rsidRDefault="00527759" w:rsidP="00527759">
      <w:pPr>
        <w:rPr>
          <w:rFonts w:ascii="Calibri" w:hAnsi="Calibri"/>
        </w:rPr>
      </w:pPr>
      <w:r w:rsidRPr="00C53FE2">
        <w:rPr>
          <w:rFonts w:ascii="Calibri" w:hAnsi="Calibri"/>
        </w:rPr>
        <w:br w:type="page"/>
      </w:r>
    </w:p>
    <w:p w14:paraId="28BF81DF" w14:textId="77777777" w:rsidR="00527759" w:rsidRPr="00541BCC" w:rsidRDefault="00527759" w:rsidP="00541BCC">
      <w:pPr>
        <w:pStyle w:val="Heading1"/>
      </w:pPr>
      <w:bookmarkStart w:id="215" w:name="_Toc168762775"/>
      <w:bookmarkStart w:id="216" w:name="_Toc194931268"/>
      <w:bookmarkStart w:id="217" w:name="_Toc194931593"/>
      <w:r w:rsidRPr="00541BCC">
        <w:lastRenderedPageBreak/>
        <w:t>Appendix B: Internal Scan</w:t>
      </w:r>
      <w:bookmarkEnd w:id="215"/>
      <w:bookmarkEnd w:id="216"/>
      <w:bookmarkEnd w:id="217"/>
    </w:p>
    <w:p w14:paraId="55E60A3F" w14:textId="77777777" w:rsidR="00527759" w:rsidRPr="00541BCC" w:rsidRDefault="00527759" w:rsidP="00541BCC">
      <w:pPr>
        <w:pStyle w:val="Heading2"/>
      </w:pPr>
      <w:bookmarkStart w:id="218" w:name="_Toc194931269"/>
      <w:bookmarkStart w:id="219" w:name="_Toc194931594"/>
      <w:r w:rsidRPr="00541BCC">
        <w:t>Enrollment</w:t>
      </w:r>
      <w:bookmarkEnd w:id="218"/>
      <w:bookmarkEnd w:id="219"/>
    </w:p>
    <w:p w14:paraId="7524029A" w14:textId="77777777" w:rsidR="00527759" w:rsidRDefault="00527759" w:rsidP="007328B8">
      <w:pPr>
        <w:rPr>
          <w:rFonts w:eastAsia="DengXian Light"/>
        </w:rPr>
      </w:pPr>
      <w:bookmarkStart w:id="220" w:name="_Toc168762777"/>
      <w:bookmarkStart w:id="221" w:name="_Toc194324254"/>
      <w:r w:rsidRPr="00541BCC">
        <w:rPr>
          <w:rFonts w:eastAsia="DengXian Light"/>
        </w:rPr>
        <w:t>Taft College Historic Enrollment</w:t>
      </w:r>
      <w:bookmarkEnd w:id="220"/>
      <w:bookmarkEnd w:id="221"/>
    </w:p>
    <w:p w14:paraId="33FE2AE6" w14:textId="77777777" w:rsidR="001509DE" w:rsidRPr="001509DE" w:rsidRDefault="001509DE" w:rsidP="001509DE">
      <w:pPr>
        <w:rPr>
          <w:rFonts w:eastAsia="DengXian Light"/>
        </w:rPr>
      </w:pPr>
    </w:p>
    <w:p w14:paraId="0184C77C" w14:textId="77777777" w:rsidR="00527759" w:rsidRPr="00C53FE2" w:rsidRDefault="00527759" w:rsidP="00527759">
      <w:pPr>
        <w:rPr>
          <w:rFonts w:ascii="Calibri" w:hAnsi="Calibri"/>
        </w:rPr>
      </w:pPr>
      <w:r w:rsidRPr="00C53FE2">
        <w:rPr>
          <w:rFonts w:ascii="Calibri" w:hAnsi="Calibri"/>
          <w:noProof/>
        </w:rPr>
        <w:drawing>
          <wp:inline distT="0" distB="0" distL="0" distR="0" wp14:anchorId="7737B10B" wp14:editId="2E8FE0FE">
            <wp:extent cx="5943600" cy="3352800"/>
            <wp:effectExtent l="0" t="0" r="0" b="0"/>
            <wp:docPr id="2070893597" name="Chart 1">
              <a:extLst xmlns:a="http://schemas.openxmlformats.org/drawingml/2006/main">
                <a:ext uri="{FF2B5EF4-FFF2-40B4-BE49-F238E27FC236}">
                  <a16:creationId xmlns:a16="http://schemas.microsoft.com/office/drawing/2014/main" id="{17A2CDDF-3720-68E0-85D4-BD2FEC17E0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DE58523" w14:textId="204AC413" w:rsidR="00527759" w:rsidRPr="002E038F" w:rsidRDefault="00527759" w:rsidP="002E038F">
      <w:pPr>
        <w:rPr>
          <w:rFonts w:ascii="Calibri" w:hAnsi="Calibri"/>
          <w:i/>
          <w:iCs/>
          <w:sz w:val="20"/>
          <w:szCs w:val="20"/>
        </w:rPr>
      </w:pPr>
      <w:r w:rsidRPr="002E038F">
        <w:rPr>
          <w:rFonts w:ascii="Calibri" w:hAnsi="Calibri"/>
          <w:i/>
          <w:iCs/>
          <w:sz w:val="20"/>
          <w:szCs w:val="20"/>
        </w:rPr>
        <w:t xml:space="preserve">Source: CCCCO </w:t>
      </w:r>
      <w:hyperlink r:id="rId68" w:history="1">
        <w:r w:rsidRPr="002E038F">
          <w:rPr>
            <w:rFonts w:ascii="Calibri" w:hAnsi="Calibri"/>
            <w:i/>
            <w:iCs/>
            <w:color w:val="0563C1"/>
            <w:sz w:val="20"/>
            <w:szCs w:val="20"/>
            <w:u w:val="single"/>
          </w:rPr>
          <w:t>DataMart</w:t>
        </w:r>
      </w:hyperlink>
      <w:r w:rsidR="002E038F" w:rsidRPr="002E038F">
        <w:rPr>
          <w:rFonts w:ascii="Calibri" w:hAnsi="Calibri"/>
          <w:i/>
          <w:iCs/>
          <w:color w:val="0563C1"/>
          <w:sz w:val="20"/>
          <w:szCs w:val="20"/>
          <w:u w:val="single"/>
        </w:rPr>
        <w:t>.</w:t>
      </w:r>
    </w:p>
    <w:p w14:paraId="4931662F" w14:textId="7AA15568" w:rsidR="00527759" w:rsidRPr="00C53FE2" w:rsidRDefault="00527759" w:rsidP="00527759">
      <w:pPr>
        <w:rPr>
          <w:rFonts w:ascii="Calibri" w:hAnsi="Calibri"/>
        </w:rPr>
      </w:pPr>
      <w:r w:rsidRPr="00C53FE2">
        <w:rPr>
          <w:rFonts w:ascii="Calibri" w:hAnsi="Calibri"/>
        </w:rPr>
        <w:t xml:space="preserve">Taft College enrollment, including </w:t>
      </w:r>
      <w:r w:rsidR="00CE7648">
        <w:rPr>
          <w:rFonts w:ascii="Calibri" w:hAnsi="Calibri"/>
        </w:rPr>
        <w:t>WESTEC</w:t>
      </w:r>
      <w:r w:rsidRPr="00C53FE2">
        <w:rPr>
          <w:rFonts w:ascii="Calibri" w:hAnsi="Calibri"/>
        </w:rPr>
        <w:t xml:space="preserve">, has trended upward with a dramatic peak of over 12,000 students in 2008. Enrollment stabilized at 4,000-5,000 between 2011 and 2023. As with other colleges, enrollment dropped in 2020 due to the </w:t>
      </w:r>
      <w:r w:rsidR="00BC2144">
        <w:rPr>
          <w:rFonts w:ascii="Calibri" w:hAnsi="Calibri"/>
        </w:rPr>
        <w:t>COVID-19 pandemic</w:t>
      </w:r>
      <w:r w:rsidRPr="00C53FE2">
        <w:rPr>
          <w:rFonts w:ascii="Calibri" w:hAnsi="Calibri"/>
        </w:rPr>
        <w:t xml:space="preserve"> but began to rebound in 2022.</w:t>
      </w:r>
    </w:p>
    <w:p w14:paraId="0729EF8C" w14:textId="77777777" w:rsidR="00527759" w:rsidRDefault="00527759" w:rsidP="00527759">
      <w:pPr>
        <w:rPr>
          <w:rFonts w:ascii="Calibri" w:hAnsi="Calibri"/>
        </w:rPr>
      </w:pPr>
      <w:r w:rsidRPr="00C53FE2">
        <w:rPr>
          <w:rFonts w:ascii="Calibri" w:hAnsi="Calibri"/>
        </w:rPr>
        <w:t>In the 1990s, the majority of Taft College students were White. From 2010 on, the majority of Taft College students have been Latino.</w:t>
      </w:r>
    </w:p>
    <w:p w14:paraId="6ED7727F" w14:textId="77777777" w:rsidR="00527759" w:rsidRPr="00C53FE2" w:rsidRDefault="00527759" w:rsidP="00527759">
      <w:pPr>
        <w:rPr>
          <w:rFonts w:ascii="Calibri" w:hAnsi="Calibri"/>
        </w:rPr>
      </w:pPr>
    </w:p>
    <w:p w14:paraId="5802B538" w14:textId="77777777" w:rsidR="001509DE" w:rsidRDefault="001509DE">
      <w:pPr>
        <w:spacing w:after="0"/>
        <w:rPr>
          <w:rFonts w:asciiTheme="majorHAnsi" w:hAnsiTheme="majorHAnsi" w:cstheme="majorBidi"/>
          <w:b/>
          <w:bCs/>
          <w:color w:val="4472C4" w:themeColor="accent1"/>
          <w:sz w:val="24"/>
        </w:rPr>
      </w:pPr>
      <w:bookmarkStart w:id="222" w:name="_Toc168762778"/>
      <w:r>
        <w:br w:type="page"/>
      </w:r>
    </w:p>
    <w:p w14:paraId="5A506B85" w14:textId="1EFC818D" w:rsidR="00527759" w:rsidRDefault="00527759" w:rsidP="007328B8">
      <w:bookmarkStart w:id="223" w:name="_Toc194324255"/>
      <w:r w:rsidRPr="00541BCC">
        <w:lastRenderedPageBreak/>
        <w:t>Enrollment Trends, Fall 2024</w:t>
      </w:r>
      <w:bookmarkEnd w:id="223"/>
    </w:p>
    <w:p w14:paraId="5A39B10B" w14:textId="77777777" w:rsidR="00527759" w:rsidRDefault="00527759" w:rsidP="000D75BF">
      <w:pPr>
        <w:rPr>
          <w:rFonts w:ascii="Calibri" w:eastAsia="DengXian Light" w:hAnsi="Calibri" w:cs="Calibri"/>
          <w:b/>
          <w:bCs/>
          <w:color w:val="FF9900"/>
          <w:sz w:val="28"/>
          <w:szCs w:val="28"/>
        </w:rPr>
      </w:pPr>
      <w:r>
        <w:rPr>
          <w:noProof/>
        </w:rPr>
        <w:drawing>
          <wp:anchor distT="0" distB="0" distL="114300" distR="114300" simplePos="0" relativeHeight="251677696" behindDoc="0" locked="0" layoutInCell="1" allowOverlap="1" wp14:anchorId="60B73CA0" wp14:editId="709DA37C">
            <wp:simplePos x="0" y="0"/>
            <wp:positionH relativeFrom="column">
              <wp:posOffset>451301</wp:posOffset>
            </wp:positionH>
            <wp:positionV relativeFrom="paragraph">
              <wp:posOffset>270490</wp:posOffset>
            </wp:positionV>
            <wp:extent cx="3698014" cy="3161459"/>
            <wp:effectExtent l="0" t="0" r="0" b="1270"/>
            <wp:wrapNone/>
            <wp:docPr id="544358338" name="Content Placeholder 4">
              <a:extLst xmlns:a="http://schemas.openxmlformats.org/drawingml/2006/main">
                <a:ext uri="{FF2B5EF4-FFF2-40B4-BE49-F238E27FC236}">
                  <a16:creationId xmlns:a16="http://schemas.microsoft.com/office/drawing/2014/main" id="{EAFF5385-36C4-7FE3-3558-6B1CDB34B9E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EAFF5385-36C4-7FE3-3558-6B1CDB34B9E9}"/>
                        </a:ext>
                      </a:extLst>
                    </pic:cNvPr>
                    <pic:cNvPicPr>
                      <a:picLocks noGrp="1" noChangeAspect="1"/>
                    </pic:cNvPicPr>
                  </pic:nvPicPr>
                  <pic:blipFill>
                    <a:blip r:embed="rId69"/>
                    <a:stretch>
                      <a:fillRect/>
                    </a:stretch>
                  </pic:blipFill>
                  <pic:spPr>
                    <a:xfrm>
                      <a:off x="0" y="0"/>
                      <a:ext cx="3719199" cy="31795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8720" behindDoc="0" locked="0" layoutInCell="1" allowOverlap="1" wp14:anchorId="6A95B252" wp14:editId="0BE6F1BF">
                <wp:simplePos x="0" y="0"/>
                <wp:positionH relativeFrom="column">
                  <wp:posOffset>314325</wp:posOffset>
                </wp:positionH>
                <wp:positionV relativeFrom="paragraph">
                  <wp:posOffset>-635</wp:posOffset>
                </wp:positionV>
                <wp:extent cx="3511296" cy="369332"/>
                <wp:effectExtent l="0" t="0" r="0" b="0"/>
                <wp:wrapNone/>
                <wp:docPr id="10" name="TextBox 9">
                  <a:extLst xmlns:a="http://schemas.openxmlformats.org/drawingml/2006/main">
                    <a:ext uri="{FF2B5EF4-FFF2-40B4-BE49-F238E27FC236}">
                      <a16:creationId xmlns:a16="http://schemas.microsoft.com/office/drawing/2014/main" id="{4A5C66DA-98BD-C5B9-3847-AFFB41782A53}"/>
                    </a:ext>
                  </a:extLst>
                </wp:docPr>
                <wp:cNvGraphicFramePr/>
                <a:graphic xmlns:a="http://schemas.openxmlformats.org/drawingml/2006/main">
                  <a:graphicData uri="http://schemas.microsoft.com/office/word/2010/wordprocessingShape">
                    <wps:wsp>
                      <wps:cNvSpPr txBox="1"/>
                      <wps:spPr>
                        <a:xfrm>
                          <a:off x="0" y="0"/>
                          <a:ext cx="3511296" cy="369332"/>
                        </a:xfrm>
                        <a:prstGeom prst="rect">
                          <a:avLst/>
                        </a:prstGeom>
                        <a:noFill/>
                      </wps:spPr>
                      <wps:txbx>
                        <w:txbxContent>
                          <w:p w14:paraId="768A208B" w14:textId="77777777" w:rsidR="00527759" w:rsidRDefault="00527759" w:rsidP="000D75BF">
                            <w:r>
                              <w:t>Taft campus</w:t>
                            </w:r>
                          </w:p>
                        </w:txbxContent>
                      </wps:txbx>
                      <wps:bodyPr wrap="square" rtlCol="0">
                        <a:spAutoFit/>
                      </wps:bodyPr>
                    </wps:wsp>
                  </a:graphicData>
                </a:graphic>
              </wp:anchor>
            </w:drawing>
          </mc:Choice>
          <mc:Fallback>
            <w:pict>
              <v:shapetype w14:anchorId="6A95B252" id="_x0000_t202" coordsize="21600,21600" o:spt="202" path="m,l,21600r21600,l21600,xe">
                <v:stroke joinstyle="miter"/>
                <v:path gradientshapeok="t" o:connecttype="rect"/>
              </v:shapetype>
              <v:shape id="TextBox 9" o:spid="_x0000_s1026" type="#_x0000_t202" style="position:absolute;margin-left:24.75pt;margin-top:-.05pt;width:276.5pt;height:29.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" filled="f" stroked="f">
                <v:textbox style="mso-fit-shape-to-text:t">
                  <w:txbxContent>
                    <w:p w14:paraId="768A208B" w14:textId="77777777" w:rsidR="00527759" w:rsidRDefault="00527759" w:rsidP="000D75BF">
                      <w:r>
                        <w:t>Taft campus</w:t>
                      </w:r>
                    </w:p>
                  </w:txbxContent>
                </v:textbox>
              </v:shape>
            </w:pict>
          </mc:Fallback>
        </mc:AlternateContent>
      </w:r>
    </w:p>
    <w:p w14:paraId="7249EA21" w14:textId="77777777" w:rsidR="00527759" w:rsidRDefault="00527759" w:rsidP="000D75BF">
      <w:pPr>
        <w:rPr>
          <w:rFonts w:ascii="Calibri" w:eastAsia="DengXian Light" w:hAnsi="Calibri" w:cs="Calibri"/>
          <w:b/>
          <w:bCs/>
          <w:color w:val="FF9900"/>
          <w:sz w:val="28"/>
          <w:szCs w:val="28"/>
        </w:rPr>
      </w:pPr>
    </w:p>
    <w:p w14:paraId="18A7ECDA" w14:textId="77777777" w:rsidR="00527759" w:rsidRDefault="00527759" w:rsidP="000D75BF">
      <w:pPr>
        <w:rPr>
          <w:rFonts w:ascii="Calibri" w:eastAsia="DengXian Light" w:hAnsi="Calibri" w:cs="Calibri"/>
          <w:b/>
          <w:bCs/>
          <w:color w:val="FF9900"/>
          <w:sz w:val="28"/>
          <w:szCs w:val="28"/>
        </w:rPr>
      </w:pPr>
    </w:p>
    <w:p w14:paraId="7D361A38" w14:textId="77777777" w:rsidR="00527759" w:rsidRDefault="00527759" w:rsidP="000D75BF">
      <w:pPr>
        <w:rPr>
          <w:rFonts w:ascii="Calibri" w:eastAsia="DengXian Light" w:hAnsi="Calibri" w:cs="Calibri"/>
          <w:b/>
          <w:bCs/>
          <w:color w:val="FF9900"/>
          <w:sz w:val="28"/>
          <w:szCs w:val="28"/>
        </w:rPr>
      </w:pPr>
    </w:p>
    <w:p w14:paraId="1F98CAEF" w14:textId="77777777" w:rsidR="00527759" w:rsidRDefault="00527759" w:rsidP="000D75BF">
      <w:pPr>
        <w:rPr>
          <w:rFonts w:ascii="Calibri" w:eastAsia="DengXian Light" w:hAnsi="Calibri" w:cs="Calibri"/>
          <w:b/>
          <w:bCs/>
          <w:color w:val="FF9900"/>
          <w:sz w:val="28"/>
          <w:szCs w:val="28"/>
        </w:rPr>
      </w:pPr>
    </w:p>
    <w:p w14:paraId="43ADFE94" w14:textId="06CD28A9" w:rsidR="00527759" w:rsidRDefault="00527759" w:rsidP="000D75BF">
      <w:pPr>
        <w:rPr>
          <w:rFonts w:ascii="Calibri" w:eastAsia="DengXian Light" w:hAnsi="Calibri" w:cs="Calibri"/>
          <w:b/>
          <w:bCs/>
          <w:color w:val="FF9900"/>
          <w:sz w:val="28"/>
          <w:szCs w:val="28"/>
        </w:rPr>
      </w:pPr>
    </w:p>
    <w:p w14:paraId="050C3FBF" w14:textId="77777777" w:rsidR="00527759" w:rsidRDefault="00527759" w:rsidP="000D75BF">
      <w:pPr>
        <w:rPr>
          <w:rFonts w:ascii="Calibri" w:eastAsia="DengXian Light" w:hAnsi="Calibri" w:cs="Calibri"/>
          <w:b/>
          <w:bCs/>
          <w:color w:val="FF9900"/>
          <w:sz w:val="28"/>
          <w:szCs w:val="28"/>
        </w:rPr>
      </w:pPr>
    </w:p>
    <w:p w14:paraId="41F63CE8" w14:textId="06CF30B3" w:rsidR="00527759" w:rsidRDefault="00527759" w:rsidP="000D75BF">
      <w:pPr>
        <w:rPr>
          <w:rFonts w:ascii="Calibri" w:eastAsia="DengXian Light" w:hAnsi="Calibri" w:cs="Calibri"/>
          <w:b/>
          <w:bCs/>
          <w:color w:val="FF9900"/>
          <w:sz w:val="28"/>
          <w:szCs w:val="28"/>
        </w:rPr>
      </w:pPr>
    </w:p>
    <w:p w14:paraId="1E8B64CD" w14:textId="35E260FE" w:rsidR="00527759" w:rsidRDefault="00527759" w:rsidP="000D75BF">
      <w:pPr>
        <w:rPr>
          <w:rFonts w:ascii="Calibri" w:eastAsia="DengXian Light" w:hAnsi="Calibri" w:cs="Calibri"/>
          <w:b/>
          <w:bCs/>
          <w:color w:val="FF9900"/>
          <w:sz w:val="28"/>
          <w:szCs w:val="28"/>
        </w:rPr>
      </w:pPr>
    </w:p>
    <w:p w14:paraId="64A6E21D" w14:textId="7D99BC45" w:rsidR="00527759" w:rsidRDefault="00527759" w:rsidP="000D75BF">
      <w:pPr>
        <w:rPr>
          <w:rFonts w:ascii="Calibri" w:eastAsia="DengXian Light" w:hAnsi="Calibri" w:cs="Calibri"/>
          <w:b/>
          <w:bCs/>
          <w:color w:val="FF9900"/>
          <w:sz w:val="28"/>
          <w:szCs w:val="28"/>
        </w:rPr>
      </w:pPr>
    </w:p>
    <w:p w14:paraId="713D63F9" w14:textId="635A7E67" w:rsidR="00527759" w:rsidRDefault="00527759" w:rsidP="000D75BF">
      <w:pPr>
        <w:rPr>
          <w:rFonts w:ascii="Calibri" w:eastAsia="DengXian Light" w:hAnsi="Calibri" w:cs="Calibri"/>
          <w:b/>
          <w:bCs/>
          <w:color w:val="FF9900"/>
          <w:sz w:val="28"/>
          <w:szCs w:val="28"/>
        </w:rPr>
      </w:pPr>
    </w:p>
    <w:p w14:paraId="5B3147CF" w14:textId="73294D38" w:rsidR="00527759" w:rsidRDefault="002E038F" w:rsidP="000D75BF">
      <w:pPr>
        <w:rPr>
          <w:rFonts w:ascii="Calibri" w:eastAsia="DengXian Light" w:hAnsi="Calibri" w:cs="Calibri"/>
          <w:b/>
          <w:bCs/>
          <w:color w:val="FF9900"/>
          <w:sz w:val="28"/>
          <w:szCs w:val="28"/>
        </w:rPr>
      </w:pPr>
      <w:r>
        <w:rPr>
          <w:noProof/>
        </w:rPr>
        <mc:AlternateContent>
          <mc:Choice Requires="wps">
            <w:drawing>
              <wp:anchor distT="0" distB="0" distL="114300" distR="114300" simplePos="0" relativeHeight="251680768" behindDoc="0" locked="0" layoutInCell="1" allowOverlap="1" wp14:anchorId="35D4ECD3" wp14:editId="32AF751E">
                <wp:simplePos x="0" y="0"/>
                <wp:positionH relativeFrom="column">
                  <wp:posOffset>446336</wp:posOffset>
                </wp:positionH>
                <wp:positionV relativeFrom="paragraph">
                  <wp:posOffset>264669</wp:posOffset>
                </wp:positionV>
                <wp:extent cx="3429000" cy="274685"/>
                <wp:effectExtent l="0" t="0" r="0" b="0"/>
                <wp:wrapNone/>
                <wp:docPr id="392156524" name="TextBox 10"/>
                <wp:cNvGraphicFramePr/>
                <a:graphic xmlns:a="http://schemas.openxmlformats.org/drawingml/2006/main">
                  <a:graphicData uri="http://schemas.microsoft.com/office/word/2010/wordprocessingShape">
                    <wps:wsp>
                      <wps:cNvSpPr txBox="1"/>
                      <wps:spPr>
                        <a:xfrm>
                          <a:off x="0" y="0"/>
                          <a:ext cx="3429000" cy="274685"/>
                        </a:xfrm>
                        <a:prstGeom prst="rect">
                          <a:avLst/>
                        </a:prstGeom>
                        <a:noFill/>
                      </wps:spPr>
                      <wps:txbx>
                        <w:txbxContent>
                          <w:p w14:paraId="670E336E" w14:textId="4704A75C" w:rsidR="00527759" w:rsidRPr="002E038F" w:rsidRDefault="00CE7648" w:rsidP="000D75BF">
                            <w:pPr>
                              <w:rPr>
                                <w:szCs w:val="22"/>
                              </w:rPr>
                            </w:pPr>
                            <w:r w:rsidRPr="002E038F">
                              <w:rPr>
                                <w:szCs w:val="22"/>
                              </w:rPr>
                              <w:t>WESTEC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D4ECD3" id="TextBox 10" o:spid="_x0000_s1027" type="#_x0000_t202" style="position:absolute;margin-left:35.15pt;margin-top:20.85pt;width:270pt;height:2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" filled="f" stroked="f">
                <v:textbox>
                  <w:txbxContent>
                    <w:p w14:paraId="670E336E" w14:textId="4704A75C" w:rsidR="00527759" w:rsidRPr="002E038F" w:rsidRDefault="00CE7648" w:rsidP="000D75BF">
                      <w:pPr>
                        <w:rPr>
                          <w:szCs w:val="22"/>
                        </w:rPr>
                      </w:pPr>
                      <w:r w:rsidRPr="002E038F">
                        <w:rPr>
                          <w:szCs w:val="22"/>
                        </w:rPr>
                        <w:t>WESTEC</w:t>
                      </w:r>
                    </w:p>
                  </w:txbxContent>
                </v:textbox>
              </v:shape>
            </w:pict>
          </mc:Fallback>
        </mc:AlternateContent>
      </w:r>
    </w:p>
    <w:p w14:paraId="0C9CAFE3" w14:textId="37EF51FE" w:rsidR="00527759" w:rsidRDefault="00527759" w:rsidP="000D75BF">
      <w:pPr>
        <w:rPr>
          <w:rFonts w:ascii="Calibri" w:eastAsia="DengXian Light" w:hAnsi="Calibri" w:cs="Calibri"/>
          <w:b/>
          <w:bCs/>
          <w:color w:val="FF9900"/>
          <w:sz w:val="28"/>
          <w:szCs w:val="28"/>
        </w:rPr>
      </w:pPr>
    </w:p>
    <w:p w14:paraId="72144937" w14:textId="09FBF1B5" w:rsidR="00527759" w:rsidRDefault="002E038F" w:rsidP="000D75BF">
      <w:pPr>
        <w:rPr>
          <w:rFonts w:ascii="Calibri" w:eastAsia="DengXian Light" w:hAnsi="Calibri" w:cs="Calibri"/>
          <w:b/>
          <w:bCs/>
          <w:color w:val="FF9900"/>
          <w:sz w:val="28"/>
          <w:szCs w:val="28"/>
        </w:rPr>
      </w:pPr>
      <w:r>
        <w:rPr>
          <w:noProof/>
        </w:rPr>
        <w:drawing>
          <wp:anchor distT="0" distB="0" distL="114300" distR="114300" simplePos="0" relativeHeight="251679744" behindDoc="0" locked="0" layoutInCell="1" allowOverlap="1" wp14:anchorId="1FB7097B" wp14:editId="3C7A6596">
            <wp:simplePos x="0" y="0"/>
            <wp:positionH relativeFrom="column">
              <wp:posOffset>495935</wp:posOffset>
            </wp:positionH>
            <wp:positionV relativeFrom="paragraph">
              <wp:posOffset>87812</wp:posOffset>
            </wp:positionV>
            <wp:extent cx="3735070" cy="3201670"/>
            <wp:effectExtent l="0" t="0" r="0" b="0"/>
            <wp:wrapNone/>
            <wp:docPr id="745774971" name="Picture 8">
              <a:extLst xmlns:a="http://schemas.openxmlformats.org/drawingml/2006/main">
                <a:ext uri="{FF2B5EF4-FFF2-40B4-BE49-F238E27FC236}">
                  <a16:creationId xmlns:a16="http://schemas.microsoft.com/office/drawing/2014/main" id="{310193D8-5124-7983-2260-26BD230865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10193D8-5124-7983-2260-26BD23086599}"/>
                        </a:ext>
                      </a:extLst>
                    </pic:cNvPr>
                    <pic:cNvPicPr>
                      <a:picLocks noChangeAspect="1"/>
                    </pic:cNvPicPr>
                  </pic:nvPicPr>
                  <pic:blipFill>
                    <a:blip r:embed="rId70"/>
                    <a:stretch>
                      <a:fillRect/>
                    </a:stretch>
                  </pic:blipFill>
                  <pic:spPr>
                    <a:xfrm>
                      <a:off x="0" y="0"/>
                      <a:ext cx="3735070" cy="3201670"/>
                    </a:xfrm>
                    <a:prstGeom prst="rect">
                      <a:avLst/>
                    </a:prstGeom>
                  </pic:spPr>
                </pic:pic>
              </a:graphicData>
            </a:graphic>
            <wp14:sizeRelH relativeFrom="margin">
              <wp14:pctWidth>0</wp14:pctWidth>
            </wp14:sizeRelH>
            <wp14:sizeRelV relativeFrom="margin">
              <wp14:pctHeight>0</wp14:pctHeight>
            </wp14:sizeRelV>
          </wp:anchor>
        </w:drawing>
      </w:r>
    </w:p>
    <w:bookmarkEnd w:id="222"/>
    <w:p w14:paraId="0F49B433" w14:textId="77777777" w:rsidR="00527759" w:rsidRDefault="00527759" w:rsidP="000D75BF">
      <w:pPr>
        <w:rPr>
          <w:rFonts w:ascii="Calibri" w:eastAsia="DengXian Light" w:hAnsi="Calibri" w:cs="Calibri"/>
          <w:b/>
          <w:bCs/>
          <w:color w:val="FF9900"/>
          <w:sz w:val="28"/>
          <w:szCs w:val="28"/>
        </w:rPr>
      </w:pPr>
    </w:p>
    <w:p w14:paraId="1992CDB0" w14:textId="77777777" w:rsidR="00527759" w:rsidRDefault="00527759" w:rsidP="000D75BF">
      <w:pPr>
        <w:rPr>
          <w:rFonts w:ascii="Calibri" w:eastAsia="DengXian Light" w:hAnsi="Calibri" w:cs="Calibri"/>
          <w:b/>
          <w:bCs/>
          <w:color w:val="FF9900"/>
          <w:sz w:val="28"/>
          <w:szCs w:val="28"/>
        </w:rPr>
      </w:pPr>
    </w:p>
    <w:p w14:paraId="30595B5E" w14:textId="77777777" w:rsidR="00EA2D8A" w:rsidRDefault="00EA2D8A" w:rsidP="000D75BF">
      <w:pPr>
        <w:rPr>
          <w:rFonts w:eastAsiaTheme="minorEastAsia"/>
          <w:i/>
          <w:iCs/>
        </w:rPr>
      </w:pPr>
    </w:p>
    <w:p w14:paraId="443D9F12" w14:textId="77777777" w:rsidR="00EA2D8A" w:rsidRDefault="00EA2D8A" w:rsidP="000D75BF">
      <w:pPr>
        <w:rPr>
          <w:rFonts w:eastAsiaTheme="minorEastAsia"/>
          <w:i/>
          <w:iCs/>
        </w:rPr>
      </w:pPr>
    </w:p>
    <w:p w14:paraId="6F57300D" w14:textId="77777777" w:rsidR="00EA2D8A" w:rsidRDefault="00EA2D8A" w:rsidP="000D75BF">
      <w:pPr>
        <w:rPr>
          <w:rFonts w:eastAsiaTheme="minorEastAsia"/>
          <w:i/>
          <w:iCs/>
        </w:rPr>
      </w:pPr>
    </w:p>
    <w:p w14:paraId="3DAEDB0A" w14:textId="77777777" w:rsidR="00EA2D8A" w:rsidRDefault="00EA2D8A" w:rsidP="000D75BF">
      <w:pPr>
        <w:rPr>
          <w:rFonts w:eastAsiaTheme="minorEastAsia"/>
          <w:i/>
          <w:iCs/>
        </w:rPr>
      </w:pPr>
    </w:p>
    <w:p w14:paraId="7BCEF843" w14:textId="77777777" w:rsidR="00EA2D8A" w:rsidRDefault="00EA2D8A" w:rsidP="000D75BF">
      <w:pPr>
        <w:rPr>
          <w:rFonts w:eastAsiaTheme="minorEastAsia"/>
          <w:i/>
          <w:iCs/>
        </w:rPr>
      </w:pPr>
    </w:p>
    <w:p w14:paraId="610F831A" w14:textId="77777777" w:rsidR="002E038F" w:rsidRDefault="002E038F" w:rsidP="00EA2D8A">
      <w:pPr>
        <w:rPr>
          <w:rFonts w:eastAsiaTheme="minorEastAsia"/>
        </w:rPr>
      </w:pPr>
    </w:p>
    <w:p w14:paraId="55ECD7D7" w14:textId="77777777" w:rsidR="002E038F" w:rsidRDefault="002E038F" w:rsidP="00EA2D8A">
      <w:pPr>
        <w:rPr>
          <w:rFonts w:eastAsiaTheme="minorEastAsia"/>
        </w:rPr>
      </w:pPr>
    </w:p>
    <w:p w14:paraId="687DB249" w14:textId="77777777" w:rsidR="002E038F" w:rsidRDefault="002E038F" w:rsidP="00EA2D8A">
      <w:pPr>
        <w:rPr>
          <w:rFonts w:eastAsiaTheme="minorEastAsia"/>
        </w:rPr>
      </w:pPr>
    </w:p>
    <w:p w14:paraId="2589FD66" w14:textId="77777777" w:rsidR="002E038F" w:rsidRDefault="002E038F" w:rsidP="00EA2D8A">
      <w:pPr>
        <w:rPr>
          <w:rFonts w:eastAsiaTheme="minorEastAsia"/>
        </w:rPr>
      </w:pPr>
    </w:p>
    <w:p w14:paraId="0A4E9595" w14:textId="77777777" w:rsidR="002E038F" w:rsidRDefault="002E038F" w:rsidP="00EA2D8A">
      <w:pPr>
        <w:rPr>
          <w:rFonts w:eastAsiaTheme="minorEastAsia"/>
        </w:rPr>
      </w:pPr>
    </w:p>
    <w:p w14:paraId="2FE9A584" w14:textId="03CD1FB1" w:rsidR="00527759" w:rsidRPr="002E038F" w:rsidRDefault="00527759" w:rsidP="00EA2D8A">
      <w:pPr>
        <w:rPr>
          <w:rFonts w:eastAsiaTheme="minorEastAsia"/>
          <w:i/>
          <w:iCs/>
          <w:sz w:val="20"/>
          <w:szCs w:val="20"/>
        </w:rPr>
      </w:pPr>
      <w:r w:rsidRPr="002E038F">
        <w:rPr>
          <w:rFonts w:eastAsiaTheme="minorEastAsia"/>
          <w:i/>
          <w:iCs/>
          <w:sz w:val="20"/>
          <w:szCs w:val="20"/>
        </w:rPr>
        <w:t xml:space="preserve">Source: </w:t>
      </w:r>
      <w:proofErr w:type="gramStart"/>
      <w:r w:rsidRPr="002E038F">
        <w:rPr>
          <w:rFonts w:eastAsiaTheme="minorEastAsia"/>
          <w:i/>
          <w:iCs/>
          <w:sz w:val="20"/>
          <w:szCs w:val="20"/>
        </w:rPr>
        <w:t>Taft College Daily Enrollment dashboard,</w:t>
      </w:r>
      <w:proofErr w:type="gramEnd"/>
      <w:r w:rsidRPr="002E038F">
        <w:rPr>
          <w:rFonts w:eastAsiaTheme="minorEastAsia"/>
          <w:i/>
          <w:iCs/>
          <w:sz w:val="20"/>
          <w:szCs w:val="20"/>
        </w:rPr>
        <w:t xml:space="preserve"> extracted 9/25/2024</w:t>
      </w:r>
      <w:r w:rsidR="002E038F">
        <w:rPr>
          <w:rFonts w:eastAsiaTheme="minorEastAsia"/>
          <w:i/>
          <w:iCs/>
          <w:sz w:val="20"/>
          <w:szCs w:val="20"/>
        </w:rPr>
        <w:t>.</w:t>
      </w:r>
    </w:p>
    <w:p w14:paraId="04189F7A" w14:textId="7E56BEF3" w:rsidR="00527759" w:rsidRDefault="00527759" w:rsidP="000D75BF">
      <w:pPr>
        <w:rPr>
          <w:rFonts w:eastAsiaTheme="minorEastAsia" w:hAnsi="Calibri"/>
          <w:color w:val="000000" w:themeColor="text1"/>
          <w:kern w:val="24"/>
        </w:rPr>
      </w:pPr>
      <w:r w:rsidRPr="00DC0011">
        <w:rPr>
          <w:rFonts w:eastAsiaTheme="minorEastAsia" w:hAnsi="Calibri"/>
          <w:color w:val="000000" w:themeColor="text1"/>
          <w:kern w:val="24"/>
        </w:rPr>
        <w:t xml:space="preserve">Enrollment at both the Taft campus and </w:t>
      </w:r>
      <w:r w:rsidR="00CE7648">
        <w:rPr>
          <w:rFonts w:eastAsiaTheme="minorEastAsia" w:hAnsi="Calibri"/>
          <w:color w:val="000000" w:themeColor="text1"/>
          <w:kern w:val="24"/>
        </w:rPr>
        <w:t>WESTEC</w:t>
      </w:r>
      <w:r w:rsidRPr="00DC0011">
        <w:rPr>
          <w:rFonts w:eastAsiaTheme="minorEastAsia" w:hAnsi="Calibri"/>
          <w:color w:val="000000" w:themeColor="text1"/>
          <w:kern w:val="24"/>
        </w:rPr>
        <w:t xml:space="preserve"> has been rebounding since the </w:t>
      </w:r>
      <w:r w:rsidR="00BC2144">
        <w:rPr>
          <w:rFonts w:eastAsiaTheme="minorEastAsia" w:hAnsi="Calibri"/>
          <w:color w:val="000000" w:themeColor="text1"/>
          <w:kern w:val="24"/>
        </w:rPr>
        <w:t>COVID-19 pandemic</w:t>
      </w:r>
      <w:r>
        <w:rPr>
          <w:rFonts w:eastAsiaTheme="minorEastAsia" w:hAnsi="Calibri"/>
          <w:color w:val="000000" w:themeColor="text1"/>
          <w:kern w:val="24"/>
        </w:rPr>
        <w:t>, nearly reaching pre-pandemic levels.</w:t>
      </w:r>
    </w:p>
    <w:p w14:paraId="14386BDA" w14:textId="447367E6" w:rsidR="00527759" w:rsidRPr="002E038F" w:rsidRDefault="00527759" w:rsidP="00EA2D8A">
      <w:pPr>
        <w:rPr>
          <w:rFonts w:ascii="Times New Roman" w:hAnsi="Times New Roman"/>
          <w:i/>
          <w:iCs/>
          <w:sz w:val="20"/>
          <w:szCs w:val="20"/>
        </w:rPr>
      </w:pPr>
      <w:r w:rsidRPr="002E038F">
        <w:rPr>
          <w:rFonts w:eastAsiaTheme="minorEastAsia"/>
          <w:i/>
          <w:iCs/>
          <w:sz w:val="20"/>
          <w:szCs w:val="20"/>
        </w:rPr>
        <w:t xml:space="preserve">Note: enrollment numbers are not finalized until end of term due to short-term courses taught throughout the </w:t>
      </w:r>
      <w:r w:rsidR="00EA2D8A" w:rsidRPr="002E038F">
        <w:rPr>
          <w:rFonts w:eastAsiaTheme="minorEastAsia"/>
          <w:i/>
          <w:iCs/>
          <w:sz w:val="20"/>
          <w:szCs w:val="20"/>
        </w:rPr>
        <w:t>semester.</w:t>
      </w:r>
    </w:p>
    <w:p w14:paraId="180FF3A4" w14:textId="77777777" w:rsidR="000D75BF" w:rsidRDefault="000D75BF">
      <w:pPr>
        <w:spacing w:after="0"/>
        <w:rPr>
          <w:rFonts w:asciiTheme="majorHAnsi" w:eastAsia="DengXian Light" w:hAnsiTheme="majorHAnsi" w:cstheme="majorBidi"/>
          <w:b/>
          <w:bCs/>
          <w:color w:val="4472C4" w:themeColor="accent1"/>
          <w:sz w:val="24"/>
        </w:rPr>
      </w:pPr>
      <w:r>
        <w:rPr>
          <w:rFonts w:eastAsia="DengXian Light"/>
        </w:rPr>
        <w:br w:type="page"/>
      </w:r>
    </w:p>
    <w:p w14:paraId="538E58CB" w14:textId="41B6ACCC" w:rsidR="00527759" w:rsidRDefault="00527759" w:rsidP="007328B8">
      <w:pPr>
        <w:rPr>
          <w:rFonts w:eastAsia="DengXian Light"/>
        </w:rPr>
      </w:pPr>
      <w:bookmarkStart w:id="224" w:name="_Toc194324256"/>
      <w:r w:rsidRPr="00541BCC">
        <w:rPr>
          <w:rFonts w:eastAsia="DengXian Light"/>
        </w:rPr>
        <w:lastRenderedPageBreak/>
        <w:t>Historic Headcount</w:t>
      </w:r>
      <w:bookmarkEnd w:id="224"/>
    </w:p>
    <w:p w14:paraId="48B587A3" w14:textId="37037B44" w:rsidR="001509DE" w:rsidRDefault="000B0CD0" w:rsidP="000D75BF">
      <w:pPr>
        <w:rPr>
          <w:rFonts w:eastAsia="DengXian Light"/>
        </w:rPr>
      </w:pPr>
      <w:r w:rsidRPr="002A4B40">
        <w:rPr>
          <w:rFonts w:eastAsia="DengXian Light"/>
          <w:noProof/>
        </w:rPr>
        <w:drawing>
          <wp:inline distT="0" distB="0" distL="0" distR="0" wp14:anchorId="7DC34070" wp14:editId="5D56D2D1">
            <wp:extent cx="6400800" cy="2770505"/>
            <wp:effectExtent l="0" t="0" r="0" b="0"/>
            <wp:docPr id="86313341" name="Picture 1"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3341" name="Picture 1" descr="A graph of a graph of a graph&#10;&#10;AI-generated content may be incorrect."/>
                    <pic:cNvPicPr/>
                  </pic:nvPicPr>
                  <pic:blipFill>
                    <a:blip r:embed="rId71"/>
                    <a:stretch>
                      <a:fillRect/>
                    </a:stretch>
                  </pic:blipFill>
                  <pic:spPr>
                    <a:xfrm>
                      <a:off x="0" y="0"/>
                      <a:ext cx="6400800" cy="2770505"/>
                    </a:xfrm>
                    <a:prstGeom prst="rect">
                      <a:avLst/>
                    </a:prstGeom>
                  </pic:spPr>
                </pic:pic>
              </a:graphicData>
            </a:graphic>
          </wp:inline>
        </w:drawing>
      </w:r>
    </w:p>
    <w:p w14:paraId="0CF222AA" w14:textId="77777777" w:rsidR="00752A2E" w:rsidRPr="001509DE" w:rsidRDefault="00752A2E" w:rsidP="000D75BF">
      <w:pPr>
        <w:rPr>
          <w:rFonts w:eastAsia="DengXian Light"/>
        </w:rPr>
      </w:pPr>
    </w:p>
    <w:p w14:paraId="16F15258" w14:textId="78234F17" w:rsidR="00527759" w:rsidRDefault="00527759" w:rsidP="000D75BF">
      <w:pPr>
        <w:rPr>
          <w:rFonts w:ascii="Calibri" w:eastAsia="DengXian Light" w:hAnsi="Calibri" w:cs="Calibri"/>
          <w:b/>
          <w:bCs/>
          <w:color w:val="FF9900"/>
          <w:sz w:val="28"/>
          <w:szCs w:val="28"/>
        </w:rPr>
      </w:pPr>
    </w:p>
    <w:p w14:paraId="42F0B157" w14:textId="77777777" w:rsidR="00527759" w:rsidRPr="00B471F7" w:rsidRDefault="00527759" w:rsidP="00B471F7">
      <w:pPr>
        <w:rPr>
          <w:rFonts w:eastAsiaTheme="minorEastAsia"/>
          <w:i/>
          <w:iCs/>
          <w:sz w:val="20"/>
          <w:szCs w:val="20"/>
        </w:rPr>
      </w:pPr>
      <w:bookmarkStart w:id="225" w:name="_Hlk178428397"/>
      <w:r w:rsidRPr="00B471F7">
        <w:rPr>
          <w:rFonts w:eastAsiaTheme="minorEastAsia"/>
          <w:i/>
          <w:iCs/>
          <w:sz w:val="20"/>
          <w:szCs w:val="20"/>
        </w:rPr>
        <w:t>Source: Taft College Office of Institutional Research and Planning</w:t>
      </w:r>
    </w:p>
    <w:bookmarkEnd w:id="225"/>
    <w:p w14:paraId="2D839AC5" w14:textId="01EDBF02" w:rsidR="00B471F7" w:rsidRPr="00EA2D8A" w:rsidRDefault="00B471F7" w:rsidP="00B471F7">
      <w:pPr>
        <w:rPr>
          <w:rFonts w:ascii="Times New Roman" w:hAnsi="Times New Roman"/>
          <w:sz w:val="20"/>
          <w:szCs w:val="20"/>
        </w:rPr>
      </w:pPr>
      <w:r w:rsidRPr="00EA2D8A">
        <w:rPr>
          <w:rFonts w:eastAsiaTheme="minorEastAsia"/>
          <w:i/>
          <w:iCs/>
          <w:sz w:val="20"/>
          <w:szCs w:val="20"/>
        </w:rPr>
        <w:t xml:space="preserve">Note: </w:t>
      </w:r>
      <w:r w:rsidR="00CB2591">
        <w:rPr>
          <w:rFonts w:eastAsiaTheme="minorEastAsia"/>
          <w:i/>
          <w:iCs/>
          <w:sz w:val="20"/>
          <w:szCs w:val="20"/>
        </w:rPr>
        <w:t>T</w:t>
      </w:r>
      <w:r w:rsidRPr="00EA2D8A">
        <w:rPr>
          <w:rFonts w:eastAsiaTheme="minorEastAsia"/>
          <w:i/>
          <w:iCs/>
          <w:sz w:val="20"/>
          <w:szCs w:val="20"/>
        </w:rPr>
        <w:t xml:space="preserve">he scale is different </w:t>
      </w:r>
      <w:r w:rsidR="00CB2591">
        <w:rPr>
          <w:rFonts w:eastAsiaTheme="minorEastAsia"/>
          <w:i/>
          <w:iCs/>
          <w:sz w:val="20"/>
          <w:szCs w:val="20"/>
        </w:rPr>
        <w:t>for</w:t>
      </w:r>
      <w:r w:rsidRPr="00EA2D8A">
        <w:rPr>
          <w:rFonts w:eastAsiaTheme="minorEastAsia"/>
          <w:i/>
          <w:iCs/>
          <w:sz w:val="20"/>
          <w:szCs w:val="20"/>
        </w:rPr>
        <w:t xml:space="preserve"> each chart.</w:t>
      </w:r>
    </w:p>
    <w:p w14:paraId="2E9711F5" w14:textId="77777777" w:rsidR="00B86C43" w:rsidRDefault="00B86C43" w:rsidP="00B86C43">
      <w:pPr>
        <w:rPr>
          <w:rFonts w:eastAsiaTheme="minorEastAsia"/>
        </w:rPr>
      </w:pPr>
    </w:p>
    <w:p w14:paraId="26D0395D" w14:textId="4D9DAE1F" w:rsidR="00527759" w:rsidRDefault="00527759" w:rsidP="00B86C43">
      <w:pPr>
        <w:rPr>
          <w:rFonts w:ascii="Calibri" w:eastAsia="DengXian Light" w:cs="Calibri"/>
          <w:b/>
          <w:bCs/>
          <w:color w:val="FF9900"/>
          <w:sz w:val="28"/>
          <w:szCs w:val="28"/>
        </w:rPr>
      </w:pPr>
      <w:r w:rsidRPr="003B5641">
        <w:rPr>
          <w:rFonts w:eastAsiaTheme="minorEastAsia"/>
        </w:rPr>
        <w:t xml:space="preserve">At both campuses, enrollment was fairly stable until it dropped during the </w:t>
      </w:r>
      <w:r w:rsidR="00BC2144">
        <w:rPr>
          <w:rFonts w:eastAsiaTheme="minorEastAsia"/>
        </w:rPr>
        <w:t>COVID-19 pandemic</w:t>
      </w:r>
      <w:r>
        <w:rPr>
          <w:rFonts w:eastAsiaTheme="minorEastAsia"/>
        </w:rPr>
        <w:t>.</w:t>
      </w:r>
    </w:p>
    <w:p w14:paraId="1D3567B3" w14:textId="0BE3C638" w:rsidR="00527759" w:rsidRPr="003B5641" w:rsidRDefault="00527759" w:rsidP="00B86C43">
      <w:pPr>
        <w:rPr>
          <w:rFonts w:ascii="Calibri" w:eastAsia="DengXian Light" w:cs="Calibri"/>
          <w:b/>
          <w:bCs/>
          <w:color w:val="FF9900"/>
          <w:sz w:val="28"/>
          <w:szCs w:val="28"/>
        </w:rPr>
      </w:pPr>
      <w:r w:rsidRPr="003B5641">
        <w:rPr>
          <w:rFonts w:eastAsiaTheme="minorEastAsia"/>
        </w:rPr>
        <w:t xml:space="preserve">Prior to the Pandemic, nearly 4,500 students were enrolled annually at the Taft campus, and nearly 8,000 at </w:t>
      </w:r>
      <w:r w:rsidR="00CE7648">
        <w:rPr>
          <w:rFonts w:eastAsiaTheme="minorEastAsia"/>
        </w:rPr>
        <w:t>WESTEC</w:t>
      </w:r>
      <w:r w:rsidR="00EA2D8A">
        <w:rPr>
          <w:rFonts w:eastAsiaTheme="minorEastAsia"/>
        </w:rPr>
        <w:t>.</w:t>
      </w:r>
    </w:p>
    <w:p w14:paraId="1FCDD6AE" w14:textId="62280D53" w:rsidR="00527759" w:rsidRPr="00E45E9E" w:rsidRDefault="00527759" w:rsidP="00B86C43">
      <w:pPr>
        <w:rPr>
          <w:rFonts w:ascii="Times New Roman" w:hAnsi="Times New Roman"/>
          <w:sz w:val="16"/>
          <w:szCs w:val="16"/>
        </w:rPr>
      </w:pPr>
      <w:r w:rsidRPr="003B5641">
        <w:rPr>
          <w:rFonts w:eastAsiaTheme="minorEastAsia"/>
        </w:rPr>
        <w:t xml:space="preserve">In most years, </w:t>
      </w:r>
      <w:r w:rsidR="00CE7648">
        <w:rPr>
          <w:rFonts w:eastAsiaTheme="minorEastAsia"/>
        </w:rPr>
        <w:t>WESTEC</w:t>
      </w:r>
      <w:r w:rsidRPr="003B5641">
        <w:rPr>
          <w:rFonts w:eastAsiaTheme="minorEastAsia"/>
        </w:rPr>
        <w:t xml:space="preserve"> accounts for approximately 60% of Taft College student</w:t>
      </w:r>
      <w:r w:rsidRPr="00341D25">
        <w:rPr>
          <w:rFonts w:eastAsiaTheme="minorEastAsia"/>
        </w:rPr>
        <w:t>s</w:t>
      </w:r>
      <w:r>
        <w:rPr>
          <w:rFonts w:eastAsiaTheme="minorEastAsia"/>
        </w:rPr>
        <w:t>.</w:t>
      </w:r>
    </w:p>
    <w:p w14:paraId="5763B5C2" w14:textId="35941679" w:rsidR="00527759" w:rsidRDefault="000B0CD0" w:rsidP="00B86C43">
      <w:pPr>
        <w:rPr>
          <w:rFonts w:eastAsiaTheme="minorEastAsia" w:cstheme="minorBidi"/>
          <w:i/>
          <w:iCs/>
          <w:szCs w:val="22"/>
        </w:rPr>
      </w:pPr>
      <w:r w:rsidRPr="00E947EC">
        <w:rPr>
          <w:rFonts w:ascii="Times New Roman" w:hAnsi="Times New Roman"/>
          <w:noProof/>
          <w:sz w:val="28"/>
        </w:rPr>
        <w:drawing>
          <wp:anchor distT="0" distB="0" distL="114300" distR="114300" simplePos="0" relativeHeight="251722752" behindDoc="0" locked="0" layoutInCell="1" allowOverlap="1" wp14:anchorId="486693B1" wp14:editId="5E521A18">
            <wp:simplePos x="0" y="0"/>
            <wp:positionH relativeFrom="margin">
              <wp:align>center</wp:align>
            </wp:positionH>
            <wp:positionV relativeFrom="paragraph">
              <wp:posOffset>92710</wp:posOffset>
            </wp:positionV>
            <wp:extent cx="5153025" cy="1719580"/>
            <wp:effectExtent l="0" t="0" r="9525" b="13970"/>
            <wp:wrapThrough wrapText="bothSides">
              <wp:wrapPolygon edited="0">
                <wp:start x="0" y="0"/>
                <wp:lineTo x="0" y="21536"/>
                <wp:lineTo x="21560" y="21536"/>
                <wp:lineTo x="21560" y="0"/>
                <wp:lineTo x="0" y="0"/>
              </wp:wrapPolygon>
            </wp:wrapThrough>
            <wp:docPr id="173319045" name="Chart 1">
              <a:extLst xmlns:a="http://schemas.openxmlformats.org/drawingml/2006/main">
                <a:ext uri="{FF2B5EF4-FFF2-40B4-BE49-F238E27FC236}">
                  <a16:creationId xmlns:a16="http://schemas.microsoft.com/office/drawing/2014/main" id="{D7BE6874-1856-EF72-B7C0-40A9ECCDBC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14:paraId="149806DD" w14:textId="20136C4B" w:rsidR="00B471F7" w:rsidRDefault="00B471F7" w:rsidP="000B0CD0">
      <w:pPr>
        <w:rPr>
          <w:rFonts w:eastAsiaTheme="minorEastAsia" w:cstheme="minorBidi"/>
          <w:i/>
          <w:iCs/>
          <w:sz w:val="20"/>
          <w:szCs w:val="20"/>
        </w:rPr>
      </w:pPr>
    </w:p>
    <w:p w14:paraId="28D67691" w14:textId="50C0A62F" w:rsidR="00B471F7" w:rsidRDefault="00B471F7" w:rsidP="00B86C43">
      <w:pPr>
        <w:rPr>
          <w:rFonts w:eastAsiaTheme="minorEastAsia" w:cstheme="minorBidi"/>
          <w:i/>
          <w:iCs/>
          <w:sz w:val="20"/>
          <w:szCs w:val="20"/>
        </w:rPr>
      </w:pPr>
    </w:p>
    <w:p w14:paraId="0554A438" w14:textId="77777777" w:rsidR="00B471F7" w:rsidRDefault="00B471F7" w:rsidP="00B86C43">
      <w:pPr>
        <w:rPr>
          <w:rFonts w:eastAsiaTheme="minorEastAsia" w:cstheme="minorBidi"/>
          <w:i/>
          <w:iCs/>
          <w:sz w:val="20"/>
          <w:szCs w:val="20"/>
        </w:rPr>
      </w:pPr>
    </w:p>
    <w:p w14:paraId="1C1EA515" w14:textId="77777777" w:rsidR="00B471F7" w:rsidRDefault="00B471F7" w:rsidP="00B86C43">
      <w:pPr>
        <w:rPr>
          <w:rFonts w:eastAsiaTheme="minorEastAsia" w:cstheme="minorBidi"/>
          <w:i/>
          <w:iCs/>
          <w:sz w:val="20"/>
          <w:szCs w:val="20"/>
        </w:rPr>
      </w:pPr>
    </w:p>
    <w:p w14:paraId="1D500CCA" w14:textId="77777777" w:rsidR="00B471F7" w:rsidRDefault="00B471F7" w:rsidP="00B86C43">
      <w:pPr>
        <w:rPr>
          <w:rFonts w:eastAsiaTheme="minorEastAsia" w:cstheme="minorBidi"/>
          <w:i/>
          <w:iCs/>
          <w:sz w:val="20"/>
          <w:szCs w:val="20"/>
        </w:rPr>
      </w:pPr>
    </w:p>
    <w:p w14:paraId="6A9D159C" w14:textId="77777777" w:rsidR="00B471F7" w:rsidRDefault="00B471F7" w:rsidP="00B86C43">
      <w:pPr>
        <w:rPr>
          <w:rFonts w:eastAsiaTheme="minorEastAsia" w:cstheme="minorBidi"/>
          <w:i/>
          <w:iCs/>
          <w:sz w:val="20"/>
          <w:szCs w:val="20"/>
        </w:rPr>
      </w:pPr>
    </w:p>
    <w:p w14:paraId="2D28E8E7" w14:textId="77777777" w:rsidR="00B471F7" w:rsidRDefault="00B471F7" w:rsidP="00B86C43">
      <w:pPr>
        <w:rPr>
          <w:rFonts w:eastAsiaTheme="minorEastAsia" w:cstheme="minorBidi"/>
          <w:i/>
          <w:iCs/>
          <w:sz w:val="20"/>
          <w:szCs w:val="20"/>
        </w:rPr>
      </w:pPr>
    </w:p>
    <w:p w14:paraId="2740B69C" w14:textId="12845648" w:rsidR="00527759" w:rsidRPr="002E038F" w:rsidRDefault="00527759" w:rsidP="00B471F7">
      <w:pPr>
        <w:rPr>
          <w:rFonts w:eastAsiaTheme="minorEastAsia"/>
          <w:i/>
          <w:iCs/>
          <w:sz w:val="20"/>
          <w:szCs w:val="20"/>
        </w:rPr>
      </w:pPr>
      <w:r w:rsidRPr="002E038F">
        <w:rPr>
          <w:rFonts w:eastAsiaTheme="minorEastAsia"/>
          <w:i/>
          <w:iCs/>
          <w:sz w:val="20"/>
          <w:szCs w:val="20"/>
        </w:rPr>
        <w:t>Source: Taft College Office of Institutional Research and Planning</w:t>
      </w:r>
      <w:r w:rsidR="002E038F" w:rsidRPr="002E038F">
        <w:rPr>
          <w:rFonts w:eastAsiaTheme="minorEastAsia"/>
          <w:i/>
          <w:iCs/>
          <w:sz w:val="20"/>
          <w:szCs w:val="20"/>
        </w:rPr>
        <w:t>.</w:t>
      </w:r>
    </w:p>
    <w:p w14:paraId="78AA3E0F" w14:textId="77777777" w:rsidR="00527759" w:rsidRDefault="00527759" w:rsidP="00B86C43">
      <w:pPr>
        <w:rPr>
          <w:rFonts w:ascii="Times New Roman" w:hAnsi="Times New Roman"/>
          <w:sz w:val="28"/>
        </w:rPr>
      </w:pPr>
    </w:p>
    <w:p w14:paraId="6C7D8117" w14:textId="77777777" w:rsidR="001509DE" w:rsidRDefault="001509DE">
      <w:pPr>
        <w:spacing w:after="0"/>
        <w:rPr>
          <w:rFonts w:asciiTheme="majorHAnsi" w:hAnsiTheme="majorHAnsi" w:cstheme="majorBidi"/>
          <w:b/>
          <w:bCs/>
          <w:color w:val="4472C4" w:themeColor="accent1"/>
          <w:sz w:val="24"/>
        </w:rPr>
      </w:pPr>
      <w:r>
        <w:br w:type="page"/>
      </w:r>
    </w:p>
    <w:p w14:paraId="361BB8EA" w14:textId="51420318" w:rsidR="00527759" w:rsidRDefault="00527759" w:rsidP="007328B8">
      <w:bookmarkStart w:id="226" w:name="_Toc194324257"/>
      <w:r w:rsidRPr="00541BCC">
        <w:lastRenderedPageBreak/>
        <w:t>Historic FTES</w:t>
      </w:r>
      <w:bookmarkEnd w:id="226"/>
    </w:p>
    <w:p w14:paraId="52580194" w14:textId="77777777" w:rsidR="001509DE" w:rsidRPr="001509DE" w:rsidRDefault="001509DE" w:rsidP="00752A2E"/>
    <w:p w14:paraId="6091BF66" w14:textId="65567EC0" w:rsidR="00527759" w:rsidRDefault="000B0CD0" w:rsidP="00752A2E">
      <w:r w:rsidRPr="000E2BDF">
        <w:rPr>
          <w:noProof/>
        </w:rPr>
        <w:drawing>
          <wp:inline distT="0" distB="0" distL="0" distR="0" wp14:anchorId="677281DF" wp14:editId="62334E7A">
            <wp:extent cx="6400800" cy="3568065"/>
            <wp:effectExtent l="0" t="0" r="0" b="0"/>
            <wp:docPr id="204768171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81718" name="Picture 1" descr="A screenshot of a graph&#10;&#10;Description automatically generated"/>
                    <pic:cNvPicPr/>
                  </pic:nvPicPr>
                  <pic:blipFill>
                    <a:blip r:embed="rId73"/>
                    <a:stretch>
                      <a:fillRect/>
                    </a:stretch>
                  </pic:blipFill>
                  <pic:spPr>
                    <a:xfrm>
                      <a:off x="0" y="0"/>
                      <a:ext cx="6400800" cy="3568065"/>
                    </a:xfrm>
                    <a:prstGeom prst="rect">
                      <a:avLst/>
                    </a:prstGeom>
                  </pic:spPr>
                </pic:pic>
              </a:graphicData>
            </a:graphic>
          </wp:inline>
        </w:drawing>
      </w:r>
    </w:p>
    <w:p w14:paraId="52689674" w14:textId="7EC4C348" w:rsidR="00527759" w:rsidRPr="002E038F"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0"/>
          <w:szCs w:val="20"/>
        </w:rPr>
      </w:pPr>
      <w:r w:rsidRPr="002E038F">
        <w:rPr>
          <w:rFonts w:asciiTheme="minorHAnsi" w:eastAsiaTheme="minorEastAsia" w:hAnsi="Calibri" w:cstheme="minorBidi"/>
          <w:i/>
          <w:iCs/>
          <w:color w:val="000000" w:themeColor="text1"/>
          <w:kern w:val="24"/>
          <w:sz w:val="20"/>
          <w:szCs w:val="20"/>
        </w:rPr>
        <w:t>Source: Taft College Office of Institutional Research and Planning</w:t>
      </w:r>
      <w:r w:rsidR="002E038F">
        <w:rPr>
          <w:rFonts w:asciiTheme="minorHAnsi" w:eastAsiaTheme="minorEastAsia" w:hAnsi="Calibri" w:cstheme="minorBidi"/>
          <w:i/>
          <w:iCs/>
          <w:color w:val="000000" w:themeColor="text1"/>
          <w:kern w:val="24"/>
          <w:sz w:val="20"/>
          <w:szCs w:val="20"/>
        </w:rPr>
        <w:t>.</w:t>
      </w:r>
    </w:p>
    <w:p w14:paraId="29F3C373" w14:textId="44A473BF" w:rsidR="00B471F7" w:rsidRPr="002E038F" w:rsidRDefault="00B471F7" w:rsidP="00B471F7">
      <w:pPr>
        <w:spacing w:after="0"/>
        <w:contextualSpacing/>
        <w:rPr>
          <w:rFonts w:ascii="Times New Roman" w:hAnsi="Times New Roman"/>
          <w:i/>
          <w:iCs/>
          <w:sz w:val="20"/>
          <w:szCs w:val="20"/>
        </w:rPr>
      </w:pPr>
      <w:r w:rsidRPr="002E038F">
        <w:rPr>
          <w:rFonts w:eastAsiaTheme="minorEastAsia" w:hAnsi="Calibri"/>
          <w:i/>
          <w:iCs/>
          <w:color w:val="000000" w:themeColor="text1"/>
          <w:kern w:val="24"/>
          <w:sz w:val="20"/>
          <w:szCs w:val="20"/>
        </w:rPr>
        <w:t xml:space="preserve">Note: </w:t>
      </w:r>
      <w:r w:rsidR="00CB2591">
        <w:rPr>
          <w:rFonts w:eastAsiaTheme="minorEastAsia" w:hAnsi="Calibri"/>
          <w:i/>
          <w:iCs/>
          <w:color w:val="000000" w:themeColor="text1"/>
          <w:kern w:val="24"/>
          <w:sz w:val="20"/>
          <w:szCs w:val="20"/>
        </w:rPr>
        <w:t>T</w:t>
      </w:r>
      <w:r w:rsidRPr="002E038F">
        <w:rPr>
          <w:rFonts w:eastAsiaTheme="minorEastAsia" w:hAnsi="Calibri"/>
          <w:i/>
          <w:iCs/>
          <w:color w:val="000000" w:themeColor="text1"/>
          <w:kern w:val="24"/>
          <w:sz w:val="20"/>
          <w:szCs w:val="20"/>
        </w:rPr>
        <w:t xml:space="preserve">he scale is different </w:t>
      </w:r>
      <w:r w:rsidR="00CB2591">
        <w:rPr>
          <w:rFonts w:eastAsiaTheme="minorEastAsia" w:hAnsi="Calibri"/>
          <w:i/>
          <w:iCs/>
          <w:color w:val="000000" w:themeColor="text1"/>
          <w:kern w:val="24"/>
          <w:sz w:val="20"/>
          <w:szCs w:val="20"/>
        </w:rPr>
        <w:t>for</w:t>
      </w:r>
      <w:r w:rsidRPr="002E038F">
        <w:rPr>
          <w:rFonts w:eastAsiaTheme="minorEastAsia" w:hAnsi="Calibri"/>
          <w:i/>
          <w:iCs/>
          <w:color w:val="000000" w:themeColor="text1"/>
          <w:kern w:val="24"/>
          <w:sz w:val="20"/>
          <w:szCs w:val="20"/>
        </w:rPr>
        <w:t xml:space="preserve"> each chart.</w:t>
      </w:r>
    </w:p>
    <w:p w14:paraId="1160B749" w14:textId="77777777" w:rsidR="00527759"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2"/>
          <w:szCs w:val="22"/>
        </w:rPr>
      </w:pPr>
    </w:p>
    <w:p w14:paraId="46642883" w14:textId="77777777" w:rsidR="00527759"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2"/>
          <w:szCs w:val="22"/>
        </w:rPr>
      </w:pPr>
    </w:p>
    <w:p w14:paraId="0B72FDE3" w14:textId="35419B5A" w:rsidR="00527759" w:rsidRDefault="000B0CD0" w:rsidP="00527759">
      <w:r w:rsidRPr="00902E69">
        <w:rPr>
          <w:noProof/>
          <w:sz w:val="28"/>
        </w:rPr>
        <w:drawing>
          <wp:anchor distT="0" distB="0" distL="114300" distR="114300" simplePos="0" relativeHeight="251721728" behindDoc="0" locked="0" layoutInCell="1" allowOverlap="1" wp14:anchorId="0DF0D9D4" wp14:editId="6BE1459F">
            <wp:simplePos x="0" y="0"/>
            <wp:positionH relativeFrom="column">
              <wp:posOffset>-1905</wp:posOffset>
            </wp:positionH>
            <wp:positionV relativeFrom="paragraph">
              <wp:posOffset>-1270</wp:posOffset>
            </wp:positionV>
            <wp:extent cx="3352800" cy="1800225"/>
            <wp:effectExtent l="0" t="0" r="0" b="9525"/>
            <wp:wrapThrough wrapText="bothSides">
              <wp:wrapPolygon edited="0">
                <wp:start x="0" y="0"/>
                <wp:lineTo x="0" y="21486"/>
                <wp:lineTo x="21477" y="21486"/>
                <wp:lineTo x="21477" y="0"/>
                <wp:lineTo x="0" y="0"/>
              </wp:wrapPolygon>
            </wp:wrapThrough>
            <wp:docPr id="1106275568" name="Chart 1">
              <a:extLst xmlns:a="http://schemas.openxmlformats.org/drawingml/2006/main">
                <a:ext uri="{FF2B5EF4-FFF2-40B4-BE49-F238E27FC236}">
                  <a16:creationId xmlns:a16="http://schemas.microsoft.com/office/drawing/2014/main" id="{6B12F063-9101-7C53-29EB-2D7671CFF4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r w:rsidR="00527759" w:rsidRPr="00902E69">
        <w:rPr>
          <w:rFonts w:ascii="Times New Roman" w:hAnsi="Times New Roman"/>
          <w:noProof/>
          <w:sz w:val="28"/>
        </w:rPr>
        <w:drawing>
          <wp:anchor distT="0" distB="0" distL="114300" distR="114300" simplePos="0" relativeHeight="251682816" behindDoc="0" locked="0" layoutInCell="1" allowOverlap="1" wp14:anchorId="53A38A83" wp14:editId="4405A18D">
            <wp:simplePos x="0" y="0"/>
            <wp:positionH relativeFrom="column">
              <wp:posOffset>1475</wp:posOffset>
            </wp:positionH>
            <wp:positionV relativeFrom="paragraph">
              <wp:posOffset>2642</wp:posOffset>
            </wp:positionV>
            <wp:extent cx="2743025" cy="1719916"/>
            <wp:effectExtent l="0" t="0" r="635" b="13970"/>
            <wp:wrapThrough wrapText="bothSides">
              <wp:wrapPolygon edited="0">
                <wp:start x="0" y="0"/>
                <wp:lineTo x="0" y="21536"/>
                <wp:lineTo x="21455" y="21536"/>
                <wp:lineTo x="21455" y="0"/>
                <wp:lineTo x="0" y="0"/>
              </wp:wrapPolygon>
            </wp:wrapThrough>
            <wp:docPr id="883561841" name="Chart 1">
              <a:extLst xmlns:a="http://schemas.openxmlformats.org/drawingml/2006/main">
                <a:ext uri="{FF2B5EF4-FFF2-40B4-BE49-F238E27FC236}">
                  <a16:creationId xmlns:a16="http://schemas.microsoft.com/office/drawing/2014/main" id="{6B12F063-9101-7C53-29EB-2D7671CFF4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r w:rsidR="00527759" w:rsidRPr="00F07E69">
        <w:rPr>
          <w:rFonts w:eastAsiaTheme="minorEastAsia" w:hAnsi="Calibri"/>
          <w:color w:val="000000" w:themeColor="text1"/>
          <w:kern w:val="24"/>
        </w:rPr>
        <w:t xml:space="preserve">At both campuses, FTES was fairly stable until it dropped (along with headcount) during the </w:t>
      </w:r>
      <w:r w:rsidR="00BC2144">
        <w:rPr>
          <w:rFonts w:eastAsiaTheme="minorEastAsia" w:hAnsi="Calibri"/>
          <w:color w:val="000000" w:themeColor="text1"/>
          <w:kern w:val="24"/>
        </w:rPr>
        <w:t>COVID-19 pandemic</w:t>
      </w:r>
      <w:r w:rsidR="00527759">
        <w:rPr>
          <w:rFonts w:eastAsiaTheme="minorEastAsia" w:hAnsi="Calibri"/>
          <w:color w:val="000000" w:themeColor="text1"/>
          <w:kern w:val="24"/>
        </w:rPr>
        <w:t>.</w:t>
      </w:r>
    </w:p>
    <w:p w14:paraId="5582AE34" w14:textId="00F1B9BD" w:rsidR="00527759" w:rsidRPr="00F07E69" w:rsidRDefault="00527759" w:rsidP="00527759">
      <w:r w:rsidRPr="00F07E69">
        <w:rPr>
          <w:rFonts w:eastAsiaTheme="minorEastAsia" w:hAnsi="Calibri"/>
          <w:color w:val="000000" w:themeColor="text1"/>
          <w:kern w:val="24"/>
        </w:rPr>
        <w:t xml:space="preserve">Prior to the Pandemic, FTES at the Taft campus hovered around 2,500 while it was closer to 325 at </w:t>
      </w:r>
      <w:r w:rsidR="00CE7648">
        <w:rPr>
          <w:rFonts w:eastAsiaTheme="minorEastAsia" w:hAnsi="Calibri"/>
          <w:color w:val="000000" w:themeColor="text1"/>
          <w:kern w:val="24"/>
        </w:rPr>
        <w:t>WESTEC</w:t>
      </w:r>
      <w:r>
        <w:rPr>
          <w:rFonts w:eastAsiaTheme="minorEastAsia" w:hAnsi="Calibri"/>
          <w:color w:val="000000" w:themeColor="text1"/>
          <w:kern w:val="24"/>
        </w:rPr>
        <w:t>.</w:t>
      </w:r>
    </w:p>
    <w:p w14:paraId="1161D856" w14:textId="49C98490" w:rsidR="00527759" w:rsidRDefault="00527759" w:rsidP="00527759">
      <w:pPr>
        <w:spacing w:after="0"/>
        <w:ind w:left="806"/>
        <w:contextualSpacing/>
        <w:rPr>
          <w:rFonts w:eastAsiaTheme="minorEastAsia" w:hAnsi="Calibri"/>
          <w:color w:val="000000" w:themeColor="text1"/>
          <w:kern w:val="24"/>
        </w:rPr>
      </w:pPr>
      <w:r w:rsidRPr="00F07E69">
        <w:rPr>
          <w:rFonts w:eastAsiaTheme="minorEastAsia" w:hAnsi="Calibri"/>
          <w:color w:val="000000" w:themeColor="text1"/>
          <w:kern w:val="24"/>
        </w:rPr>
        <w:t xml:space="preserve">In most years, </w:t>
      </w:r>
      <w:r w:rsidR="00CE7648">
        <w:rPr>
          <w:rFonts w:eastAsiaTheme="minorEastAsia" w:hAnsi="Calibri"/>
          <w:color w:val="000000" w:themeColor="text1"/>
          <w:kern w:val="24"/>
        </w:rPr>
        <w:t>WESTEC</w:t>
      </w:r>
      <w:r w:rsidRPr="00F07E69">
        <w:rPr>
          <w:rFonts w:eastAsiaTheme="minorEastAsia" w:hAnsi="Calibri"/>
          <w:color w:val="000000" w:themeColor="text1"/>
          <w:kern w:val="24"/>
        </w:rPr>
        <w:t xml:space="preserve"> accounts for approximately 10% of Taft FTES</w:t>
      </w:r>
      <w:r>
        <w:rPr>
          <w:rFonts w:eastAsiaTheme="minorEastAsia" w:hAnsi="Calibri"/>
          <w:color w:val="000000" w:themeColor="text1"/>
          <w:kern w:val="24"/>
        </w:rPr>
        <w:t>.</w:t>
      </w:r>
    </w:p>
    <w:p w14:paraId="71B50DBE" w14:textId="77777777" w:rsidR="00527759" w:rsidRPr="00F07E69" w:rsidRDefault="00527759" w:rsidP="00527759">
      <w:pPr>
        <w:spacing w:after="0"/>
        <w:ind w:left="806"/>
        <w:contextualSpacing/>
        <w:rPr>
          <w:rFonts w:ascii="Times New Roman" w:hAnsi="Times New Roman"/>
        </w:rPr>
      </w:pPr>
    </w:p>
    <w:p w14:paraId="428F92D7" w14:textId="77777777" w:rsidR="00527759" w:rsidRDefault="00527759" w:rsidP="00527759">
      <w:pPr>
        <w:spacing w:after="0"/>
        <w:contextualSpacing/>
        <w:rPr>
          <w:rFonts w:ascii="Times New Roman" w:hAnsi="Times New Roman"/>
          <w:sz w:val="28"/>
        </w:rPr>
      </w:pPr>
    </w:p>
    <w:p w14:paraId="1901126E" w14:textId="77777777" w:rsidR="00527759" w:rsidRDefault="00527759" w:rsidP="00527759">
      <w:pPr>
        <w:spacing w:after="0"/>
        <w:contextualSpacing/>
        <w:rPr>
          <w:rFonts w:ascii="Times New Roman" w:hAnsi="Times New Roman"/>
          <w:sz w:val="28"/>
        </w:rPr>
      </w:pPr>
    </w:p>
    <w:p w14:paraId="592CD502" w14:textId="77777777" w:rsidR="00527759" w:rsidRPr="00F07E69" w:rsidRDefault="00527759" w:rsidP="00527759">
      <w:pPr>
        <w:spacing w:after="0"/>
        <w:contextualSpacing/>
        <w:rPr>
          <w:rFonts w:ascii="Times New Roman" w:hAnsi="Times New Roman"/>
          <w:sz w:val="28"/>
        </w:rPr>
      </w:pPr>
    </w:p>
    <w:p w14:paraId="27418123" w14:textId="77777777" w:rsidR="001509DE" w:rsidRDefault="001509DE" w:rsidP="00F16EFC">
      <w:pPr>
        <w:rPr>
          <w:rFonts w:eastAsia="DengXian Light"/>
        </w:rPr>
      </w:pPr>
    </w:p>
    <w:p w14:paraId="0C9449E9" w14:textId="77777777" w:rsidR="001509DE" w:rsidRDefault="001509DE" w:rsidP="00F16EFC">
      <w:pPr>
        <w:rPr>
          <w:rFonts w:eastAsia="DengXian Light"/>
        </w:rPr>
      </w:pPr>
    </w:p>
    <w:p w14:paraId="5E100ED6" w14:textId="77777777" w:rsidR="001509DE" w:rsidRDefault="001509DE" w:rsidP="00F16EFC">
      <w:pPr>
        <w:rPr>
          <w:rFonts w:eastAsia="DengXian Light"/>
        </w:rPr>
      </w:pPr>
    </w:p>
    <w:p w14:paraId="5088F1C9" w14:textId="77777777" w:rsidR="001509DE" w:rsidRDefault="001509DE">
      <w:pPr>
        <w:spacing w:after="0"/>
        <w:rPr>
          <w:rFonts w:asciiTheme="majorHAnsi" w:eastAsia="DengXian Light" w:hAnsiTheme="majorHAnsi" w:cstheme="majorBidi"/>
          <w:b/>
          <w:bCs/>
          <w:color w:val="4472C4" w:themeColor="accent1"/>
          <w:sz w:val="24"/>
        </w:rPr>
      </w:pPr>
      <w:r>
        <w:rPr>
          <w:rFonts w:eastAsia="DengXian Light"/>
        </w:rPr>
        <w:br w:type="page"/>
      </w:r>
    </w:p>
    <w:p w14:paraId="27F49FC5" w14:textId="29161DFB" w:rsidR="00527759" w:rsidRDefault="00527759" w:rsidP="007328B8">
      <w:pPr>
        <w:rPr>
          <w:rFonts w:eastAsia="DengXian Light"/>
        </w:rPr>
      </w:pPr>
      <w:bookmarkStart w:id="227" w:name="_Toc194324258"/>
      <w:r w:rsidRPr="00541BCC">
        <w:rPr>
          <w:rFonts w:eastAsia="DengXian Light"/>
        </w:rPr>
        <w:lastRenderedPageBreak/>
        <w:t>Enrollments by Modality</w:t>
      </w:r>
      <w:bookmarkEnd w:id="227"/>
    </w:p>
    <w:p w14:paraId="6B8A106F" w14:textId="77777777" w:rsidR="001509DE" w:rsidRPr="001509DE" w:rsidRDefault="001509DE" w:rsidP="001509DE">
      <w:pPr>
        <w:rPr>
          <w:rFonts w:eastAsia="DengXian Light"/>
        </w:rPr>
      </w:pPr>
    </w:p>
    <w:p w14:paraId="6EA20D93" w14:textId="5E812C1A" w:rsidR="00527759" w:rsidRDefault="000B0CD0" w:rsidP="00752A2E">
      <w:pPr>
        <w:rPr>
          <w:rFonts w:ascii="Calibri" w:eastAsia="DengXian Light" w:hAnsi="Calibri" w:cs="Calibri"/>
          <w:b/>
          <w:bCs/>
          <w:color w:val="FF9900"/>
          <w:sz w:val="28"/>
          <w:szCs w:val="28"/>
        </w:rPr>
      </w:pPr>
      <w:r w:rsidRPr="00DB7E2D">
        <w:rPr>
          <w:rFonts w:eastAsia="DengXian Light"/>
          <w:noProof/>
        </w:rPr>
        <w:drawing>
          <wp:inline distT="0" distB="0" distL="0" distR="0" wp14:anchorId="32420705" wp14:editId="1ACA508F">
            <wp:extent cx="6400800" cy="3636010"/>
            <wp:effectExtent l="0" t="0" r="0" b="2540"/>
            <wp:docPr id="1978451733"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51733" name="Picture 1" descr="A screen shot of a graph&#10;&#10;Description automatically generated"/>
                    <pic:cNvPicPr/>
                  </pic:nvPicPr>
                  <pic:blipFill>
                    <a:blip r:embed="rId76"/>
                    <a:stretch>
                      <a:fillRect/>
                    </a:stretch>
                  </pic:blipFill>
                  <pic:spPr>
                    <a:xfrm>
                      <a:off x="0" y="0"/>
                      <a:ext cx="6400800" cy="3636010"/>
                    </a:xfrm>
                    <a:prstGeom prst="rect">
                      <a:avLst/>
                    </a:prstGeom>
                  </pic:spPr>
                </pic:pic>
              </a:graphicData>
            </a:graphic>
          </wp:inline>
        </w:drawing>
      </w:r>
    </w:p>
    <w:p w14:paraId="1503659F" w14:textId="77777777" w:rsidR="00CB2591" w:rsidRPr="00B471F7" w:rsidRDefault="00527759" w:rsidP="00CB2591">
      <w:pPr>
        <w:spacing w:after="0"/>
        <w:contextualSpacing/>
        <w:rPr>
          <w:rFonts w:eastAsiaTheme="minorEastAsia" w:hAnsi="Calibri"/>
          <w:i/>
          <w:iCs/>
          <w:color w:val="000000" w:themeColor="text1"/>
          <w:kern w:val="24"/>
          <w:sz w:val="20"/>
          <w:szCs w:val="20"/>
        </w:rPr>
      </w:pPr>
      <w:bookmarkStart w:id="228" w:name="_Hlk178427572"/>
      <w:r w:rsidRPr="002E038F">
        <w:rPr>
          <w:rFonts w:eastAsiaTheme="minorEastAsia"/>
          <w:i/>
          <w:iCs/>
          <w:sz w:val="20"/>
          <w:szCs w:val="20"/>
        </w:rPr>
        <w:t>Source: Taft College Office of Institutional Research and Planning</w:t>
      </w:r>
      <w:r w:rsidR="002E038F" w:rsidRPr="002E038F">
        <w:rPr>
          <w:rFonts w:eastAsiaTheme="minorEastAsia"/>
          <w:i/>
          <w:iCs/>
          <w:sz w:val="20"/>
          <w:szCs w:val="20"/>
        </w:rPr>
        <w:t>.</w:t>
      </w:r>
      <w:r w:rsidR="00CB2591">
        <w:rPr>
          <w:rFonts w:eastAsiaTheme="minorEastAsia"/>
          <w:i/>
          <w:iCs/>
          <w:sz w:val="20"/>
          <w:szCs w:val="20"/>
        </w:rPr>
        <w:br/>
      </w:r>
      <w:r w:rsidR="00CB2591" w:rsidRPr="00B471F7">
        <w:rPr>
          <w:rFonts w:eastAsiaTheme="minorEastAsia" w:hAnsi="Calibri"/>
          <w:i/>
          <w:iCs/>
          <w:color w:val="000000" w:themeColor="text1"/>
          <w:kern w:val="24"/>
          <w:sz w:val="20"/>
          <w:szCs w:val="20"/>
        </w:rPr>
        <w:t>Note: Offline courses are correspondence</w:t>
      </w:r>
      <w:r w:rsidR="00CB2591">
        <w:rPr>
          <w:rFonts w:eastAsiaTheme="minorEastAsia" w:hAnsi="Calibri"/>
          <w:i/>
          <w:iCs/>
          <w:color w:val="000000" w:themeColor="text1"/>
          <w:kern w:val="24"/>
          <w:sz w:val="20"/>
          <w:szCs w:val="20"/>
        </w:rPr>
        <w:t xml:space="preserve">; </w:t>
      </w:r>
      <w:r w:rsidR="00CB2591" w:rsidRPr="00B471F7">
        <w:rPr>
          <w:rFonts w:eastAsiaTheme="minorEastAsia" w:hAnsi="Calibri"/>
          <w:i/>
          <w:iCs/>
          <w:color w:val="000000" w:themeColor="text1"/>
          <w:kern w:val="24"/>
          <w:sz w:val="20"/>
          <w:szCs w:val="20"/>
        </w:rPr>
        <w:t>Zoom are specific time online courses</w:t>
      </w:r>
      <w:r w:rsidR="00CB2591">
        <w:rPr>
          <w:rFonts w:eastAsiaTheme="minorEastAsia" w:hAnsi="Calibri"/>
          <w:i/>
          <w:iCs/>
          <w:color w:val="000000" w:themeColor="text1"/>
          <w:kern w:val="24"/>
          <w:sz w:val="20"/>
          <w:szCs w:val="20"/>
        </w:rPr>
        <w:t xml:space="preserve">; </w:t>
      </w:r>
      <w:r w:rsidR="00CB2591" w:rsidRPr="00B471F7">
        <w:rPr>
          <w:rFonts w:eastAsiaTheme="minorEastAsia" w:hAnsi="Calibri"/>
          <w:i/>
          <w:iCs/>
          <w:color w:val="000000" w:themeColor="text1"/>
          <w:kern w:val="24"/>
          <w:sz w:val="20"/>
          <w:szCs w:val="20"/>
        </w:rPr>
        <w:t xml:space="preserve">not all </w:t>
      </w:r>
      <w:r w:rsidR="00CB2591">
        <w:rPr>
          <w:rFonts w:eastAsiaTheme="minorEastAsia" w:hAnsi="Calibri"/>
          <w:i/>
          <w:iCs/>
          <w:color w:val="000000" w:themeColor="text1"/>
          <w:kern w:val="24"/>
          <w:sz w:val="20"/>
          <w:szCs w:val="20"/>
        </w:rPr>
        <w:t>WESTEC</w:t>
      </w:r>
      <w:r w:rsidR="00CB2591" w:rsidRPr="00B471F7">
        <w:rPr>
          <w:rFonts w:eastAsiaTheme="minorEastAsia" w:hAnsi="Calibri"/>
          <w:i/>
          <w:iCs/>
          <w:color w:val="000000" w:themeColor="text1"/>
          <w:kern w:val="24"/>
          <w:sz w:val="20"/>
          <w:szCs w:val="20"/>
        </w:rPr>
        <w:t xml:space="preserve"> enrollments are included.</w:t>
      </w:r>
    </w:p>
    <w:bookmarkEnd w:id="228"/>
    <w:p w14:paraId="59A95AED" w14:textId="77777777" w:rsidR="00527759" w:rsidRPr="00625D4A"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2"/>
          <w:szCs w:val="22"/>
        </w:rPr>
      </w:pPr>
    </w:p>
    <w:p w14:paraId="51120F43" w14:textId="3F88400A" w:rsidR="00527759" w:rsidRDefault="00527759" w:rsidP="00527759">
      <w:pPr>
        <w:spacing w:after="0"/>
        <w:contextualSpacing/>
        <w:rPr>
          <w:rFonts w:eastAsiaTheme="minorEastAsia" w:hAnsi="Calibri"/>
          <w:color w:val="000000" w:themeColor="text1"/>
          <w:kern w:val="24"/>
        </w:rPr>
      </w:pPr>
      <w:r w:rsidRPr="00286108">
        <w:rPr>
          <w:rFonts w:eastAsiaTheme="minorEastAsia" w:hAnsi="Calibri"/>
          <w:color w:val="000000" w:themeColor="text1"/>
          <w:kern w:val="24"/>
        </w:rPr>
        <w:t xml:space="preserve">Even prior to the </w:t>
      </w:r>
      <w:r w:rsidR="00BC2144">
        <w:rPr>
          <w:rFonts w:eastAsiaTheme="minorEastAsia" w:hAnsi="Calibri"/>
          <w:color w:val="000000" w:themeColor="text1"/>
          <w:kern w:val="24"/>
        </w:rPr>
        <w:t>COVID-19 pandemic</w:t>
      </w:r>
      <w:r w:rsidRPr="00286108">
        <w:rPr>
          <w:rFonts w:eastAsiaTheme="minorEastAsia" w:hAnsi="Calibri"/>
          <w:color w:val="000000" w:themeColor="text1"/>
          <w:kern w:val="24"/>
        </w:rPr>
        <w:t>, Taft College had higher online enrollments than face-to-face</w:t>
      </w:r>
      <w:r>
        <w:rPr>
          <w:rFonts w:eastAsiaTheme="minorEastAsia" w:hAnsi="Calibri"/>
          <w:color w:val="000000" w:themeColor="text1"/>
          <w:kern w:val="24"/>
        </w:rPr>
        <w:t>.</w:t>
      </w:r>
    </w:p>
    <w:p w14:paraId="3CE05D06" w14:textId="77777777" w:rsidR="00527759" w:rsidRPr="00286108" w:rsidRDefault="00527759" w:rsidP="00527759">
      <w:pPr>
        <w:spacing w:after="0"/>
        <w:contextualSpacing/>
        <w:rPr>
          <w:rFonts w:ascii="Times New Roman" w:hAnsi="Times New Roman"/>
        </w:rPr>
      </w:pPr>
    </w:p>
    <w:p w14:paraId="065D874D" w14:textId="3EBFA4ED" w:rsidR="00527759" w:rsidRDefault="00527759" w:rsidP="00527759">
      <w:pPr>
        <w:spacing w:after="0"/>
        <w:contextualSpacing/>
        <w:rPr>
          <w:rFonts w:eastAsiaTheme="minorEastAsia" w:hAnsi="Calibri"/>
          <w:color w:val="000000" w:themeColor="text1"/>
          <w:kern w:val="24"/>
        </w:rPr>
      </w:pPr>
      <w:r w:rsidRPr="00286108">
        <w:rPr>
          <w:rFonts w:eastAsiaTheme="minorEastAsia" w:hAnsi="Calibri"/>
          <w:color w:val="000000" w:themeColor="text1"/>
          <w:kern w:val="24"/>
        </w:rPr>
        <w:t xml:space="preserve">During the peak of the </w:t>
      </w:r>
      <w:r w:rsidR="00B471F7">
        <w:rPr>
          <w:rFonts w:eastAsiaTheme="minorEastAsia" w:hAnsi="Calibri"/>
          <w:color w:val="000000" w:themeColor="text1"/>
          <w:kern w:val="24"/>
        </w:rPr>
        <w:t>P</w:t>
      </w:r>
      <w:r w:rsidRPr="00286108">
        <w:rPr>
          <w:rFonts w:eastAsiaTheme="minorEastAsia" w:hAnsi="Calibri"/>
          <w:color w:val="000000" w:themeColor="text1"/>
          <w:kern w:val="24"/>
        </w:rPr>
        <w:t>andemic, enrollments in hybrid courses increased and face-to-face decreased, with more enrollments online</w:t>
      </w:r>
      <w:r>
        <w:rPr>
          <w:rFonts w:eastAsiaTheme="minorEastAsia" w:hAnsi="Calibri"/>
          <w:color w:val="000000" w:themeColor="text1"/>
          <w:kern w:val="24"/>
        </w:rPr>
        <w:t>.</w:t>
      </w:r>
    </w:p>
    <w:p w14:paraId="4D1C3976" w14:textId="77777777" w:rsidR="00527759" w:rsidRPr="00286108" w:rsidRDefault="00527759" w:rsidP="00527759">
      <w:pPr>
        <w:spacing w:after="0"/>
        <w:contextualSpacing/>
        <w:rPr>
          <w:rFonts w:ascii="Times New Roman" w:hAnsi="Times New Roman"/>
        </w:rPr>
      </w:pPr>
    </w:p>
    <w:p w14:paraId="4ED54F50" w14:textId="3806E295" w:rsidR="00527759" w:rsidRDefault="00527759" w:rsidP="00527759">
      <w:pPr>
        <w:spacing w:after="0"/>
        <w:contextualSpacing/>
        <w:rPr>
          <w:rFonts w:eastAsiaTheme="minorEastAsia" w:hAnsi="Calibri"/>
          <w:color w:val="000000" w:themeColor="text1"/>
          <w:kern w:val="24"/>
        </w:rPr>
      </w:pPr>
      <w:r w:rsidRPr="00286108">
        <w:rPr>
          <w:rFonts w:eastAsiaTheme="minorEastAsia" w:hAnsi="Calibri"/>
          <w:color w:val="000000" w:themeColor="text1"/>
          <w:kern w:val="24"/>
        </w:rPr>
        <w:t xml:space="preserve">Post-pandemic, hybrid enrollments subsided to pre-pandemic levels, and face-to-face enrollments rebounded but </w:t>
      </w:r>
      <w:r>
        <w:rPr>
          <w:rFonts w:eastAsiaTheme="minorEastAsia" w:hAnsi="Calibri"/>
          <w:color w:val="000000" w:themeColor="text1"/>
          <w:kern w:val="24"/>
        </w:rPr>
        <w:t xml:space="preserve">had </w:t>
      </w:r>
      <w:r w:rsidRPr="00286108">
        <w:rPr>
          <w:rFonts w:eastAsiaTheme="minorEastAsia" w:hAnsi="Calibri"/>
          <w:color w:val="000000" w:themeColor="text1"/>
          <w:kern w:val="24"/>
        </w:rPr>
        <w:t xml:space="preserve">not yet </w:t>
      </w:r>
      <w:r>
        <w:rPr>
          <w:rFonts w:eastAsiaTheme="minorEastAsia" w:hAnsi="Calibri"/>
          <w:color w:val="000000" w:themeColor="text1"/>
          <w:kern w:val="24"/>
        </w:rPr>
        <w:t>reached</w:t>
      </w:r>
      <w:r w:rsidRPr="00286108">
        <w:rPr>
          <w:rFonts w:eastAsiaTheme="minorEastAsia" w:hAnsi="Calibri"/>
          <w:color w:val="000000" w:themeColor="text1"/>
          <w:kern w:val="24"/>
        </w:rPr>
        <w:t xml:space="preserve"> pre-pandemic levels</w:t>
      </w:r>
      <w:r>
        <w:rPr>
          <w:rFonts w:eastAsiaTheme="minorEastAsia" w:hAnsi="Calibri"/>
          <w:color w:val="000000" w:themeColor="text1"/>
          <w:kern w:val="24"/>
        </w:rPr>
        <w:t xml:space="preserve"> in 2023-2024.</w:t>
      </w:r>
    </w:p>
    <w:p w14:paraId="68509C08" w14:textId="77777777" w:rsidR="00527759" w:rsidRPr="00286108" w:rsidRDefault="00527759" w:rsidP="00527759">
      <w:pPr>
        <w:spacing w:after="0"/>
        <w:contextualSpacing/>
        <w:rPr>
          <w:rFonts w:ascii="Times New Roman" w:hAnsi="Times New Roman"/>
        </w:rPr>
      </w:pPr>
    </w:p>
    <w:p w14:paraId="57C977C9" w14:textId="77777777" w:rsidR="00527759" w:rsidRPr="00B471F7" w:rsidRDefault="00527759" w:rsidP="00527759">
      <w:pPr>
        <w:pStyle w:val="NormalWeb"/>
        <w:spacing w:before="0" w:beforeAutospacing="0" w:after="0" w:afterAutospacing="0"/>
        <w:rPr>
          <w:sz w:val="20"/>
          <w:szCs w:val="20"/>
        </w:rPr>
      </w:pPr>
    </w:p>
    <w:p w14:paraId="67053641" w14:textId="77777777" w:rsidR="00527759" w:rsidRDefault="00527759" w:rsidP="00F16EFC">
      <w:pPr>
        <w:rPr>
          <w:rFonts w:eastAsia="DengXian Light"/>
        </w:rPr>
      </w:pPr>
    </w:p>
    <w:p w14:paraId="29E2D833" w14:textId="77777777" w:rsidR="001509DE" w:rsidRDefault="001509DE">
      <w:pPr>
        <w:spacing w:after="0"/>
        <w:rPr>
          <w:rFonts w:asciiTheme="majorHAnsi" w:eastAsia="DengXian Light" w:hAnsiTheme="majorHAnsi" w:cstheme="majorBidi"/>
          <w:b/>
          <w:bCs/>
          <w:color w:val="4472C4" w:themeColor="accent1"/>
          <w:sz w:val="24"/>
        </w:rPr>
      </w:pPr>
      <w:r>
        <w:rPr>
          <w:rFonts w:eastAsia="DengXian Light"/>
        </w:rPr>
        <w:br w:type="page"/>
      </w:r>
    </w:p>
    <w:p w14:paraId="4DFF4C74" w14:textId="11CABDDF" w:rsidR="00527759" w:rsidRDefault="00527759" w:rsidP="007328B8">
      <w:pPr>
        <w:rPr>
          <w:rFonts w:eastAsia="DengXian Light"/>
        </w:rPr>
      </w:pPr>
      <w:bookmarkStart w:id="229" w:name="_Toc194324259"/>
      <w:r w:rsidRPr="00541BCC">
        <w:rPr>
          <w:rFonts w:eastAsia="DengXian Light"/>
        </w:rPr>
        <w:lastRenderedPageBreak/>
        <w:t>Success Rate by Modality</w:t>
      </w:r>
      <w:bookmarkEnd w:id="229"/>
    </w:p>
    <w:p w14:paraId="5B20BBA0" w14:textId="77777777" w:rsidR="001509DE" w:rsidRPr="001509DE" w:rsidRDefault="001509DE" w:rsidP="001509DE">
      <w:pPr>
        <w:rPr>
          <w:rFonts w:eastAsia="DengXian Light"/>
        </w:rPr>
      </w:pPr>
    </w:p>
    <w:p w14:paraId="5624ED1C" w14:textId="07697D8C" w:rsidR="00527759" w:rsidRDefault="000B0CD0" w:rsidP="00752A2E">
      <w:pPr>
        <w:rPr>
          <w:rFonts w:ascii="Calibri" w:eastAsia="DengXian Light" w:hAnsi="Calibri" w:cs="Calibri"/>
          <w:b/>
          <w:bCs/>
          <w:color w:val="FF9900"/>
          <w:sz w:val="28"/>
          <w:szCs w:val="28"/>
        </w:rPr>
      </w:pPr>
      <w:r w:rsidRPr="00DB7E2D">
        <w:rPr>
          <w:rFonts w:eastAsia="DengXian Light"/>
          <w:noProof/>
        </w:rPr>
        <w:drawing>
          <wp:inline distT="0" distB="0" distL="0" distR="0" wp14:anchorId="019F97A9" wp14:editId="21DF1D08">
            <wp:extent cx="6400800" cy="3707765"/>
            <wp:effectExtent l="0" t="0" r="0" b="6985"/>
            <wp:docPr id="197678445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84455" name="Picture 1" descr="A screenshot of a graph&#10;&#10;Description automatically generated"/>
                    <pic:cNvPicPr/>
                  </pic:nvPicPr>
                  <pic:blipFill>
                    <a:blip r:embed="rId77"/>
                    <a:stretch>
                      <a:fillRect/>
                    </a:stretch>
                  </pic:blipFill>
                  <pic:spPr>
                    <a:xfrm>
                      <a:off x="0" y="0"/>
                      <a:ext cx="6400800" cy="3707765"/>
                    </a:xfrm>
                    <a:prstGeom prst="rect">
                      <a:avLst/>
                    </a:prstGeom>
                  </pic:spPr>
                </pic:pic>
              </a:graphicData>
            </a:graphic>
          </wp:inline>
        </w:drawing>
      </w:r>
    </w:p>
    <w:p w14:paraId="61A92562" w14:textId="4396BF19" w:rsidR="00527759"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0"/>
          <w:szCs w:val="20"/>
        </w:rPr>
      </w:pPr>
      <w:r w:rsidRPr="002E038F">
        <w:rPr>
          <w:rFonts w:asciiTheme="minorHAnsi" w:eastAsiaTheme="minorEastAsia" w:hAnsi="Calibri" w:cstheme="minorBidi"/>
          <w:i/>
          <w:iCs/>
          <w:color w:val="000000" w:themeColor="text1"/>
          <w:kern w:val="24"/>
          <w:sz w:val="20"/>
          <w:szCs w:val="20"/>
        </w:rPr>
        <w:t>Source: Taft College Office of Institutional Research and Planning</w:t>
      </w:r>
      <w:r w:rsidR="002E038F" w:rsidRPr="002E038F">
        <w:rPr>
          <w:rFonts w:asciiTheme="minorHAnsi" w:eastAsiaTheme="minorEastAsia" w:hAnsi="Calibri" w:cstheme="minorBidi"/>
          <w:i/>
          <w:iCs/>
          <w:color w:val="000000" w:themeColor="text1"/>
          <w:kern w:val="24"/>
          <w:sz w:val="20"/>
          <w:szCs w:val="20"/>
        </w:rPr>
        <w:t>.</w:t>
      </w:r>
    </w:p>
    <w:p w14:paraId="494FE824" w14:textId="77777777" w:rsidR="00CB2591" w:rsidRPr="00B471F7" w:rsidRDefault="00CB2591" w:rsidP="00CB2591">
      <w:pPr>
        <w:spacing w:after="0"/>
        <w:contextualSpacing/>
        <w:rPr>
          <w:rFonts w:ascii="Times New Roman" w:hAnsi="Times New Roman"/>
          <w:sz w:val="20"/>
          <w:szCs w:val="20"/>
        </w:rPr>
      </w:pPr>
      <w:r w:rsidRPr="00B471F7">
        <w:rPr>
          <w:rFonts w:eastAsiaTheme="minorEastAsia" w:hAnsi="Calibri"/>
          <w:i/>
          <w:iCs/>
          <w:color w:val="000000" w:themeColor="text1"/>
          <w:kern w:val="24"/>
          <w:sz w:val="20"/>
          <w:szCs w:val="20"/>
        </w:rPr>
        <w:t xml:space="preserve">Note: Not all </w:t>
      </w:r>
      <w:r>
        <w:rPr>
          <w:rFonts w:eastAsiaTheme="minorEastAsia" w:hAnsi="Calibri"/>
          <w:i/>
          <w:iCs/>
          <w:color w:val="000000" w:themeColor="text1"/>
          <w:kern w:val="24"/>
          <w:sz w:val="20"/>
          <w:szCs w:val="20"/>
        </w:rPr>
        <w:t>WESTEC</w:t>
      </w:r>
      <w:r w:rsidRPr="00B471F7">
        <w:rPr>
          <w:rFonts w:eastAsiaTheme="minorEastAsia" w:hAnsi="Calibri"/>
          <w:i/>
          <w:iCs/>
          <w:color w:val="000000" w:themeColor="text1"/>
          <w:kern w:val="24"/>
          <w:sz w:val="20"/>
          <w:szCs w:val="20"/>
        </w:rPr>
        <w:t xml:space="preserve"> enrollments are included.</w:t>
      </w:r>
    </w:p>
    <w:p w14:paraId="310C151E" w14:textId="77777777" w:rsidR="00527759"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8"/>
          <w:szCs w:val="28"/>
        </w:rPr>
      </w:pPr>
    </w:p>
    <w:p w14:paraId="3792E4AF" w14:textId="30E2DEEE" w:rsidR="00527759" w:rsidRDefault="00527759" w:rsidP="00527759">
      <w:pPr>
        <w:spacing w:after="0"/>
        <w:contextualSpacing/>
        <w:rPr>
          <w:rFonts w:eastAsiaTheme="minorEastAsia" w:hAnsi="Calibri"/>
          <w:color w:val="000000" w:themeColor="text1"/>
          <w:kern w:val="24"/>
        </w:rPr>
      </w:pPr>
      <w:r>
        <w:rPr>
          <w:rFonts w:eastAsiaTheme="minorEastAsia" w:hAnsi="Calibri"/>
          <w:color w:val="000000" w:themeColor="text1"/>
          <w:kern w:val="24"/>
        </w:rPr>
        <w:t>Over the past several years, s</w:t>
      </w:r>
      <w:r w:rsidRPr="00BF5E8D">
        <w:rPr>
          <w:rFonts w:eastAsiaTheme="minorEastAsia" w:hAnsi="Calibri"/>
          <w:color w:val="000000" w:themeColor="text1"/>
          <w:kern w:val="24"/>
        </w:rPr>
        <w:t xml:space="preserve">uccess rates </w:t>
      </w:r>
      <w:r>
        <w:rPr>
          <w:rFonts w:eastAsiaTheme="minorEastAsia" w:hAnsi="Calibri"/>
          <w:color w:val="000000" w:themeColor="text1"/>
          <w:kern w:val="24"/>
        </w:rPr>
        <w:t>have been</w:t>
      </w:r>
      <w:r w:rsidRPr="00BF5E8D">
        <w:rPr>
          <w:rFonts w:eastAsiaTheme="minorEastAsia" w:hAnsi="Calibri"/>
          <w:color w:val="000000" w:themeColor="text1"/>
          <w:kern w:val="24"/>
        </w:rPr>
        <w:t xml:space="preserve"> highest in </w:t>
      </w:r>
      <w:r w:rsidR="00DF2CBA">
        <w:rPr>
          <w:rFonts w:eastAsiaTheme="minorEastAsia" w:hAnsi="Calibri"/>
          <w:color w:val="000000" w:themeColor="text1"/>
          <w:kern w:val="24"/>
        </w:rPr>
        <w:t>f</w:t>
      </w:r>
      <w:r w:rsidRPr="00BF5E8D">
        <w:rPr>
          <w:rFonts w:eastAsiaTheme="minorEastAsia" w:hAnsi="Calibri"/>
          <w:color w:val="000000" w:themeColor="text1"/>
          <w:kern w:val="24"/>
        </w:rPr>
        <w:t>ace-to-</w:t>
      </w:r>
      <w:r w:rsidR="00DF2CBA">
        <w:rPr>
          <w:rFonts w:eastAsiaTheme="minorEastAsia" w:hAnsi="Calibri"/>
          <w:color w:val="000000" w:themeColor="text1"/>
          <w:kern w:val="24"/>
        </w:rPr>
        <w:t>f</w:t>
      </w:r>
      <w:r w:rsidRPr="00BF5E8D">
        <w:rPr>
          <w:rFonts w:eastAsiaTheme="minorEastAsia" w:hAnsi="Calibri"/>
          <w:color w:val="000000" w:themeColor="text1"/>
          <w:kern w:val="24"/>
        </w:rPr>
        <w:t>ace classes, at 79% in 2023-2024</w:t>
      </w:r>
      <w:r>
        <w:rPr>
          <w:rFonts w:eastAsiaTheme="minorEastAsia" w:hAnsi="Calibri"/>
          <w:color w:val="000000" w:themeColor="text1"/>
          <w:kern w:val="24"/>
        </w:rPr>
        <w:t>.</w:t>
      </w:r>
    </w:p>
    <w:p w14:paraId="7453EFFD" w14:textId="77777777" w:rsidR="00527759" w:rsidRDefault="00527759" w:rsidP="00527759">
      <w:pPr>
        <w:spacing w:after="0"/>
        <w:contextualSpacing/>
        <w:rPr>
          <w:rFonts w:eastAsiaTheme="minorEastAsia" w:hAnsi="Calibri"/>
          <w:color w:val="000000" w:themeColor="text1"/>
          <w:kern w:val="24"/>
        </w:rPr>
      </w:pPr>
      <w:r w:rsidRPr="00BF5E8D">
        <w:rPr>
          <w:rFonts w:eastAsiaTheme="minorEastAsia" w:hAnsi="Calibri"/>
          <w:color w:val="000000" w:themeColor="text1"/>
          <w:kern w:val="24"/>
        </w:rPr>
        <w:t>Over ti</w:t>
      </w:r>
      <w:r w:rsidRPr="009B04CF">
        <w:rPr>
          <w:rFonts w:eastAsiaTheme="minorEastAsia" w:hAnsi="Calibri"/>
          <w:color w:val="000000" w:themeColor="text1"/>
          <w:kern w:val="24"/>
        </w:rPr>
        <w:t>m</w:t>
      </w:r>
      <w:r w:rsidRPr="00BF5E8D">
        <w:rPr>
          <w:rFonts w:eastAsiaTheme="minorEastAsia" w:hAnsi="Calibri"/>
          <w:color w:val="000000" w:themeColor="text1"/>
          <w:kern w:val="24"/>
        </w:rPr>
        <w:t>e, success rates are lower in Online and Hybrid courses (68% and 67%, respectively, in 2023-2024)</w:t>
      </w:r>
      <w:r>
        <w:rPr>
          <w:rFonts w:eastAsiaTheme="minorEastAsia" w:hAnsi="Calibri"/>
          <w:color w:val="000000" w:themeColor="text1"/>
          <w:kern w:val="24"/>
        </w:rPr>
        <w:t>.</w:t>
      </w:r>
    </w:p>
    <w:p w14:paraId="532ABB50" w14:textId="77777777" w:rsidR="00527759" w:rsidRPr="00BF5E8D" w:rsidRDefault="00527759" w:rsidP="00527759">
      <w:pPr>
        <w:spacing w:after="0"/>
        <w:contextualSpacing/>
        <w:rPr>
          <w:rFonts w:ascii="Times New Roman" w:hAnsi="Times New Roman"/>
        </w:rPr>
      </w:pPr>
    </w:p>
    <w:p w14:paraId="030D6424" w14:textId="77777777" w:rsidR="00527759" w:rsidRDefault="00527759" w:rsidP="00527759">
      <w:pPr>
        <w:pStyle w:val="NormalWeb"/>
        <w:spacing w:before="0" w:beforeAutospacing="0" w:after="0" w:afterAutospacing="0"/>
      </w:pPr>
    </w:p>
    <w:p w14:paraId="33C77A31" w14:textId="77777777" w:rsidR="00527759" w:rsidRDefault="00527759" w:rsidP="00527759">
      <w:pPr>
        <w:pStyle w:val="NormalWeb"/>
        <w:spacing w:before="0" w:beforeAutospacing="0" w:after="0" w:afterAutospacing="0"/>
      </w:pPr>
    </w:p>
    <w:p w14:paraId="04704F8A" w14:textId="77777777" w:rsidR="001509DE" w:rsidRDefault="001509DE">
      <w:pPr>
        <w:spacing w:after="0"/>
        <w:rPr>
          <w:rFonts w:eastAsiaTheme="majorEastAsia" w:cstheme="minorHAnsi"/>
          <w:b/>
          <w:bCs/>
          <w:color w:val="FF9900"/>
          <w:sz w:val="28"/>
          <w:szCs w:val="28"/>
        </w:rPr>
      </w:pPr>
      <w:r>
        <w:br w:type="page"/>
      </w:r>
    </w:p>
    <w:p w14:paraId="06A77DBA" w14:textId="58E92D00" w:rsidR="00527759" w:rsidRDefault="00527759" w:rsidP="00527759">
      <w:pPr>
        <w:pStyle w:val="Heading2"/>
      </w:pPr>
      <w:bookmarkStart w:id="230" w:name="_Toc194931270"/>
      <w:bookmarkStart w:id="231" w:name="_Toc194931595"/>
      <w:r>
        <w:lastRenderedPageBreak/>
        <w:t>Students</w:t>
      </w:r>
      <w:bookmarkEnd w:id="230"/>
      <w:bookmarkEnd w:id="231"/>
    </w:p>
    <w:p w14:paraId="5E4A0686" w14:textId="0857E554" w:rsidR="001509DE" w:rsidRDefault="00527759" w:rsidP="007328B8">
      <w:bookmarkStart w:id="232" w:name="_Toc194324261"/>
      <w:r>
        <w:t>Educational Goal</w:t>
      </w:r>
      <w:bookmarkEnd w:id="232"/>
    </w:p>
    <w:p w14:paraId="21FAD9C4" w14:textId="77777777" w:rsidR="001509DE" w:rsidRPr="001509DE" w:rsidRDefault="001509DE" w:rsidP="001509DE"/>
    <w:p w14:paraId="229EC793" w14:textId="74564E0E" w:rsidR="00527759" w:rsidRDefault="000B0CD0" w:rsidP="00752A2E">
      <w:pPr>
        <w:rPr>
          <w:rFonts w:ascii="Calibri" w:eastAsia="DengXian Light" w:hAnsi="Calibri" w:cs="Calibri"/>
          <w:b/>
          <w:bCs/>
          <w:color w:val="FF9900"/>
          <w:sz w:val="28"/>
          <w:szCs w:val="28"/>
        </w:rPr>
      </w:pPr>
      <w:r w:rsidRPr="00DB7E2D">
        <w:rPr>
          <w:noProof/>
        </w:rPr>
        <w:drawing>
          <wp:inline distT="0" distB="0" distL="0" distR="0" wp14:anchorId="07541B76" wp14:editId="40AE3F94">
            <wp:extent cx="5973009" cy="5496692"/>
            <wp:effectExtent l="0" t="0" r="8890" b="8890"/>
            <wp:docPr id="1201569781"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69781" name="Picture 1" descr="A graph with numbers and lines&#10;&#10;Description automatically generated"/>
                    <pic:cNvPicPr/>
                  </pic:nvPicPr>
                  <pic:blipFill>
                    <a:blip r:embed="rId78"/>
                    <a:stretch>
                      <a:fillRect/>
                    </a:stretch>
                  </pic:blipFill>
                  <pic:spPr>
                    <a:xfrm>
                      <a:off x="0" y="0"/>
                      <a:ext cx="5973009" cy="5496692"/>
                    </a:xfrm>
                    <a:prstGeom prst="rect">
                      <a:avLst/>
                    </a:prstGeom>
                  </pic:spPr>
                </pic:pic>
              </a:graphicData>
            </a:graphic>
          </wp:inline>
        </w:drawing>
      </w:r>
    </w:p>
    <w:p w14:paraId="3D6EEF17" w14:textId="4D59EDEE" w:rsidR="002E038F" w:rsidRPr="00E5677A" w:rsidRDefault="00527759" w:rsidP="002E038F">
      <w:pPr>
        <w:spacing w:after="0"/>
        <w:contextualSpacing/>
        <w:rPr>
          <w:rFonts w:ascii="Times New Roman" w:hAnsi="Times New Roman"/>
        </w:rPr>
      </w:pPr>
      <w:r w:rsidRPr="002E038F">
        <w:rPr>
          <w:rFonts w:eastAsiaTheme="minorEastAsia" w:hAnsi="Calibri" w:cstheme="minorBidi"/>
          <w:i/>
          <w:iCs/>
          <w:color w:val="000000" w:themeColor="text1"/>
          <w:kern w:val="24"/>
          <w:sz w:val="20"/>
          <w:szCs w:val="20"/>
        </w:rPr>
        <w:t>Source: Taft College Office of Institutional Research and Planning</w:t>
      </w:r>
      <w:r w:rsidR="002E038F" w:rsidRPr="002E038F">
        <w:rPr>
          <w:rFonts w:eastAsiaTheme="minorEastAsia" w:hAnsi="Calibri" w:cstheme="minorBidi"/>
          <w:i/>
          <w:iCs/>
          <w:color w:val="000000" w:themeColor="text1"/>
          <w:kern w:val="24"/>
          <w:sz w:val="20"/>
          <w:szCs w:val="20"/>
        </w:rPr>
        <w:t>.</w:t>
      </w:r>
      <w:r w:rsidR="002E038F">
        <w:rPr>
          <w:rFonts w:eastAsiaTheme="minorEastAsia" w:hAnsi="Calibri" w:cstheme="minorBidi"/>
          <w:i/>
          <w:iCs/>
          <w:color w:val="000000" w:themeColor="text1"/>
          <w:kern w:val="24"/>
          <w:sz w:val="20"/>
          <w:szCs w:val="20"/>
        </w:rPr>
        <w:br/>
      </w:r>
    </w:p>
    <w:p w14:paraId="046F7BB1" w14:textId="77777777" w:rsidR="00527759"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8"/>
          <w:szCs w:val="28"/>
        </w:rPr>
      </w:pPr>
    </w:p>
    <w:p w14:paraId="43E8E481" w14:textId="5E94B3A1" w:rsidR="00527759" w:rsidRDefault="00527759" w:rsidP="00527759">
      <w:pPr>
        <w:spacing w:after="0"/>
        <w:contextualSpacing/>
        <w:rPr>
          <w:rFonts w:eastAsiaTheme="minorEastAsia" w:hAnsi="Calibri"/>
          <w:color w:val="000000" w:themeColor="text1"/>
          <w:kern w:val="24"/>
        </w:rPr>
      </w:pPr>
      <w:r w:rsidRPr="00E5677A">
        <w:rPr>
          <w:rFonts w:eastAsiaTheme="minorEastAsia" w:hAnsi="Calibri"/>
          <w:color w:val="000000" w:themeColor="text1"/>
          <w:kern w:val="24"/>
        </w:rPr>
        <w:t>The majority of students at the Taft campus have Degree/Transfer as their educational goal</w:t>
      </w:r>
      <w:r>
        <w:rPr>
          <w:rFonts w:eastAsiaTheme="minorEastAsia" w:hAnsi="Calibri"/>
          <w:color w:val="000000" w:themeColor="text1"/>
          <w:kern w:val="24"/>
        </w:rPr>
        <w:t xml:space="preserve">, followed by Undecided/Unknown, Short-Term Career Education, and Adult </w:t>
      </w:r>
      <w:r w:rsidR="007E1533">
        <w:rPr>
          <w:rFonts w:eastAsiaTheme="minorEastAsia" w:hAnsi="Calibri"/>
          <w:color w:val="000000" w:themeColor="text1"/>
          <w:kern w:val="24"/>
        </w:rPr>
        <w:t>Education</w:t>
      </w:r>
      <w:r>
        <w:rPr>
          <w:rFonts w:eastAsiaTheme="minorEastAsia" w:hAnsi="Calibri"/>
          <w:color w:val="000000" w:themeColor="text1"/>
          <w:kern w:val="24"/>
        </w:rPr>
        <w:t>.</w:t>
      </w:r>
    </w:p>
    <w:p w14:paraId="58931356" w14:textId="77777777" w:rsidR="00527759" w:rsidRPr="00E5677A" w:rsidRDefault="00527759" w:rsidP="00527759">
      <w:pPr>
        <w:spacing w:after="0"/>
        <w:contextualSpacing/>
        <w:rPr>
          <w:rFonts w:ascii="Times New Roman" w:hAnsi="Times New Roman"/>
        </w:rPr>
      </w:pPr>
    </w:p>
    <w:p w14:paraId="666AB391" w14:textId="77777777" w:rsidR="00527759" w:rsidRDefault="00527759" w:rsidP="00527759">
      <w:pPr>
        <w:pStyle w:val="NormalWeb"/>
        <w:spacing w:before="0" w:beforeAutospacing="0" w:after="0" w:afterAutospacing="0"/>
      </w:pPr>
    </w:p>
    <w:p w14:paraId="76F0A0DB" w14:textId="77777777" w:rsidR="001509DE" w:rsidRDefault="001509DE">
      <w:pPr>
        <w:spacing w:after="0"/>
        <w:rPr>
          <w:rFonts w:asciiTheme="majorHAnsi" w:hAnsiTheme="majorHAnsi" w:cstheme="majorBidi"/>
          <w:b/>
          <w:bCs/>
          <w:color w:val="4472C4" w:themeColor="accent1"/>
          <w:sz w:val="24"/>
        </w:rPr>
      </w:pPr>
      <w:r>
        <w:br w:type="page"/>
      </w:r>
    </w:p>
    <w:p w14:paraId="6802AE07" w14:textId="2F056D0E" w:rsidR="001509DE" w:rsidRDefault="00527759" w:rsidP="007328B8">
      <w:bookmarkStart w:id="233" w:name="_Toc194324262"/>
      <w:r>
        <w:lastRenderedPageBreak/>
        <w:t>Gender</w:t>
      </w:r>
      <w:bookmarkEnd w:id="233"/>
    </w:p>
    <w:p w14:paraId="6748B4A3" w14:textId="77777777" w:rsidR="001509DE" w:rsidRPr="001509DE" w:rsidRDefault="001509DE" w:rsidP="001509DE"/>
    <w:p w14:paraId="57E60DFC" w14:textId="0DD6D056" w:rsidR="00527759" w:rsidRDefault="000B0CD0" w:rsidP="00752A2E">
      <w:pPr>
        <w:rPr>
          <w:rFonts w:ascii="Calibri" w:eastAsia="DengXian Light" w:hAnsi="Calibri" w:cs="Calibri"/>
          <w:b/>
          <w:bCs/>
          <w:color w:val="FF9900"/>
          <w:sz w:val="28"/>
          <w:szCs w:val="28"/>
        </w:rPr>
      </w:pPr>
      <w:r w:rsidRPr="00DB7E2D">
        <w:rPr>
          <w:noProof/>
        </w:rPr>
        <w:drawing>
          <wp:inline distT="0" distB="0" distL="0" distR="0" wp14:anchorId="7778F0C5" wp14:editId="4346CA97">
            <wp:extent cx="6400800" cy="3592830"/>
            <wp:effectExtent l="0" t="0" r="0" b="7620"/>
            <wp:docPr id="71620175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01752" name="Picture 1" descr="A screenshot of a graph&#10;&#10;Description automatically generated"/>
                    <pic:cNvPicPr/>
                  </pic:nvPicPr>
                  <pic:blipFill>
                    <a:blip r:embed="rId79"/>
                    <a:stretch>
                      <a:fillRect/>
                    </a:stretch>
                  </pic:blipFill>
                  <pic:spPr>
                    <a:xfrm>
                      <a:off x="0" y="0"/>
                      <a:ext cx="6400800" cy="3592830"/>
                    </a:xfrm>
                    <a:prstGeom prst="rect">
                      <a:avLst/>
                    </a:prstGeom>
                  </pic:spPr>
                </pic:pic>
              </a:graphicData>
            </a:graphic>
          </wp:inline>
        </w:drawing>
      </w:r>
    </w:p>
    <w:p w14:paraId="0DBFE2E2" w14:textId="4D5D706D" w:rsidR="00CB2591" w:rsidRPr="002E038F" w:rsidRDefault="00527759" w:rsidP="00CB2591">
      <w:pPr>
        <w:spacing w:after="0"/>
        <w:contextualSpacing/>
        <w:rPr>
          <w:rFonts w:ascii="Times New Roman" w:hAnsi="Times New Roman"/>
          <w:sz w:val="20"/>
          <w:szCs w:val="20"/>
        </w:rPr>
      </w:pPr>
      <w:bookmarkStart w:id="234" w:name="_Hlk178430037"/>
      <w:r w:rsidRPr="002E038F">
        <w:rPr>
          <w:rFonts w:eastAsiaTheme="minorEastAsia" w:hAnsi="Calibri" w:cstheme="minorBidi"/>
          <w:i/>
          <w:iCs/>
          <w:color w:val="000000" w:themeColor="text1"/>
          <w:kern w:val="24"/>
          <w:sz w:val="20"/>
          <w:szCs w:val="20"/>
        </w:rPr>
        <w:t>Source: Taft College Office of Institutional Research and Planning</w:t>
      </w:r>
      <w:r w:rsidR="002E038F" w:rsidRPr="002E038F">
        <w:rPr>
          <w:rFonts w:eastAsiaTheme="minorEastAsia" w:hAnsi="Calibri" w:cstheme="minorBidi"/>
          <w:i/>
          <w:iCs/>
          <w:color w:val="000000" w:themeColor="text1"/>
          <w:kern w:val="24"/>
          <w:sz w:val="20"/>
          <w:szCs w:val="20"/>
        </w:rPr>
        <w:t>.</w:t>
      </w:r>
      <w:r w:rsidR="00CB2591">
        <w:rPr>
          <w:rFonts w:eastAsiaTheme="minorEastAsia" w:hAnsi="Calibri" w:cstheme="minorBidi"/>
          <w:i/>
          <w:iCs/>
          <w:color w:val="000000" w:themeColor="text1"/>
          <w:kern w:val="24"/>
          <w:sz w:val="20"/>
          <w:szCs w:val="20"/>
        </w:rPr>
        <w:br/>
      </w:r>
      <w:r w:rsidR="00CB2591" w:rsidRPr="002E038F">
        <w:rPr>
          <w:rFonts w:eastAsiaTheme="minorEastAsia" w:hAnsi="Calibri"/>
          <w:i/>
          <w:iCs/>
          <w:color w:val="000000" w:themeColor="text1"/>
          <w:kern w:val="24"/>
          <w:sz w:val="20"/>
          <w:szCs w:val="20"/>
        </w:rPr>
        <w:t xml:space="preserve">Note: </w:t>
      </w:r>
      <w:r w:rsidR="00CB2591">
        <w:rPr>
          <w:rFonts w:eastAsiaTheme="minorEastAsia" w:hAnsi="Calibri"/>
          <w:i/>
          <w:iCs/>
          <w:color w:val="000000" w:themeColor="text1"/>
          <w:kern w:val="24"/>
          <w:sz w:val="20"/>
          <w:szCs w:val="20"/>
        </w:rPr>
        <w:t>T</w:t>
      </w:r>
      <w:r w:rsidR="00CB2591" w:rsidRPr="002E038F">
        <w:rPr>
          <w:rFonts w:eastAsiaTheme="minorEastAsia" w:hAnsi="Calibri"/>
          <w:i/>
          <w:iCs/>
          <w:color w:val="000000" w:themeColor="text1"/>
          <w:kern w:val="24"/>
          <w:sz w:val="20"/>
          <w:szCs w:val="20"/>
        </w:rPr>
        <w:t xml:space="preserve">he scale is different </w:t>
      </w:r>
      <w:r w:rsidR="00CB2591">
        <w:rPr>
          <w:rFonts w:eastAsiaTheme="minorEastAsia" w:hAnsi="Calibri"/>
          <w:i/>
          <w:iCs/>
          <w:color w:val="000000" w:themeColor="text1"/>
          <w:kern w:val="24"/>
          <w:sz w:val="20"/>
          <w:szCs w:val="20"/>
        </w:rPr>
        <w:t>for</w:t>
      </w:r>
      <w:r w:rsidR="00CB2591" w:rsidRPr="002E038F">
        <w:rPr>
          <w:rFonts w:eastAsiaTheme="minorEastAsia" w:hAnsi="Calibri"/>
          <w:i/>
          <w:iCs/>
          <w:color w:val="000000" w:themeColor="text1"/>
          <w:kern w:val="24"/>
          <w:sz w:val="20"/>
          <w:szCs w:val="20"/>
        </w:rPr>
        <w:t xml:space="preserve"> each chart.</w:t>
      </w:r>
    </w:p>
    <w:p w14:paraId="2FB350FE" w14:textId="156FA1D7" w:rsidR="00527759" w:rsidRPr="002E038F"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0"/>
          <w:szCs w:val="20"/>
        </w:rPr>
      </w:pPr>
    </w:p>
    <w:bookmarkEnd w:id="234"/>
    <w:p w14:paraId="0D36EEF4" w14:textId="77777777" w:rsidR="00527759" w:rsidRDefault="00527759" w:rsidP="00527759">
      <w:pPr>
        <w:spacing w:after="0"/>
        <w:contextualSpacing/>
        <w:rPr>
          <w:rFonts w:eastAsiaTheme="minorEastAsia" w:hAnsi="Calibri"/>
          <w:color w:val="000000" w:themeColor="text1"/>
          <w:kern w:val="24"/>
        </w:rPr>
      </w:pPr>
    </w:p>
    <w:p w14:paraId="0F79AF7B" w14:textId="77777777" w:rsidR="00527759" w:rsidRDefault="00527759" w:rsidP="00527759">
      <w:pPr>
        <w:spacing w:after="0"/>
        <w:contextualSpacing/>
        <w:rPr>
          <w:rFonts w:eastAsiaTheme="minorEastAsia" w:hAnsi="Calibri"/>
          <w:color w:val="000000" w:themeColor="text1"/>
          <w:kern w:val="24"/>
        </w:rPr>
      </w:pPr>
    </w:p>
    <w:p w14:paraId="4A4DB4EF" w14:textId="35915058" w:rsidR="00527759" w:rsidRDefault="000B0CD0" w:rsidP="00527759">
      <w:pPr>
        <w:spacing w:after="0"/>
        <w:contextualSpacing/>
        <w:jc w:val="center"/>
        <w:rPr>
          <w:rFonts w:eastAsiaTheme="minorEastAsia" w:hAnsi="Calibri"/>
          <w:color w:val="000000" w:themeColor="text1"/>
          <w:kern w:val="24"/>
        </w:rPr>
      </w:pPr>
      <w:r w:rsidRPr="000B4E9F">
        <w:rPr>
          <w:rFonts w:eastAsiaTheme="minorEastAsia" w:hAnsi="Calibri"/>
          <w:noProof/>
          <w:color w:val="000000" w:themeColor="text1"/>
          <w:kern w:val="24"/>
        </w:rPr>
        <w:drawing>
          <wp:inline distT="0" distB="0" distL="0" distR="0" wp14:anchorId="35C4C956" wp14:editId="596CB80A">
            <wp:extent cx="3049421" cy="1920240"/>
            <wp:effectExtent l="0" t="0" r="0" b="3810"/>
            <wp:docPr id="1263310011"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10011" name="Picture 1" descr="A close-up of a graph&#10;&#10;Description automatically generated"/>
                    <pic:cNvPicPr/>
                  </pic:nvPicPr>
                  <pic:blipFill>
                    <a:blip r:embed="rId80"/>
                    <a:stretch>
                      <a:fillRect/>
                    </a:stretch>
                  </pic:blipFill>
                  <pic:spPr>
                    <a:xfrm>
                      <a:off x="0" y="0"/>
                      <a:ext cx="3049421" cy="1920240"/>
                    </a:xfrm>
                    <a:prstGeom prst="rect">
                      <a:avLst/>
                    </a:prstGeom>
                  </pic:spPr>
                </pic:pic>
              </a:graphicData>
            </a:graphic>
          </wp:inline>
        </w:drawing>
      </w:r>
    </w:p>
    <w:p w14:paraId="222317F5" w14:textId="77777777" w:rsidR="00527759" w:rsidRDefault="00527759" w:rsidP="00527759">
      <w:pPr>
        <w:spacing w:after="0"/>
        <w:contextualSpacing/>
        <w:rPr>
          <w:rFonts w:eastAsiaTheme="minorEastAsia" w:hAnsi="Calibri"/>
          <w:color w:val="000000" w:themeColor="text1"/>
          <w:kern w:val="24"/>
        </w:rPr>
      </w:pPr>
    </w:p>
    <w:p w14:paraId="375AD165" w14:textId="77777777" w:rsidR="00527759" w:rsidRDefault="00527759" w:rsidP="00527759">
      <w:pPr>
        <w:spacing w:after="0"/>
        <w:contextualSpacing/>
        <w:rPr>
          <w:rFonts w:eastAsiaTheme="minorEastAsia" w:hAnsi="Calibri"/>
          <w:color w:val="000000" w:themeColor="text1"/>
          <w:kern w:val="24"/>
        </w:rPr>
      </w:pPr>
    </w:p>
    <w:p w14:paraId="2D387BD6" w14:textId="77777777" w:rsidR="002E038F" w:rsidRDefault="002E038F" w:rsidP="00527759">
      <w:pPr>
        <w:spacing w:after="0"/>
        <w:contextualSpacing/>
        <w:rPr>
          <w:rFonts w:eastAsiaTheme="minorEastAsia" w:hAnsi="Calibri"/>
          <w:color w:val="000000" w:themeColor="text1"/>
          <w:kern w:val="24"/>
        </w:rPr>
      </w:pPr>
    </w:p>
    <w:p w14:paraId="321FDCCB" w14:textId="57D8A4D6" w:rsidR="00527759" w:rsidRPr="00D04063" w:rsidRDefault="00527759" w:rsidP="00527759">
      <w:pPr>
        <w:spacing w:after="0"/>
        <w:contextualSpacing/>
        <w:rPr>
          <w:rFonts w:ascii="Times New Roman" w:hAnsi="Times New Roman"/>
        </w:rPr>
      </w:pPr>
      <w:r w:rsidRPr="00D04063">
        <w:rPr>
          <w:rFonts w:eastAsiaTheme="minorEastAsia" w:hAnsi="Calibri"/>
          <w:color w:val="000000" w:themeColor="text1"/>
          <w:kern w:val="24"/>
        </w:rPr>
        <w:t>At the Taft campus, the majority of students are female, about 2:1</w:t>
      </w:r>
      <w:r>
        <w:rPr>
          <w:rFonts w:eastAsiaTheme="minorEastAsia" w:hAnsi="Calibri"/>
          <w:color w:val="000000" w:themeColor="text1"/>
          <w:kern w:val="24"/>
        </w:rPr>
        <w:t>.</w:t>
      </w:r>
    </w:p>
    <w:p w14:paraId="6A01FF3D" w14:textId="56E51D14" w:rsidR="00527759" w:rsidRDefault="00527759" w:rsidP="00527759">
      <w:pPr>
        <w:spacing w:after="0"/>
        <w:contextualSpacing/>
        <w:rPr>
          <w:rFonts w:eastAsiaTheme="minorEastAsia" w:hAnsi="Calibri"/>
          <w:color w:val="000000" w:themeColor="text1"/>
          <w:kern w:val="24"/>
        </w:rPr>
      </w:pPr>
      <w:r w:rsidRPr="00D04063">
        <w:rPr>
          <w:rFonts w:eastAsiaTheme="minorEastAsia" w:hAnsi="Calibri"/>
          <w:color w:val="000000" w:themeColor="text1"/>
          <w:kern w:val="24"/>
        </w:rPr>
        <w:t xml:space="preserve">At </w:t>
      </w:r>
      <w:r w:rsidR="00CE7648">
        <w:rPr>
          <w:rFonts w:eastAsiaTheme="minorEastAsia" w:hAnsi="Calibri"/>
          <w:color w:val="000000" w:themeColor="text1"/>
          <w:kern w:val="24"/>
        </w:rPr>
        <w:t>WESTEC</w:t>
      </w:r>
      <w:r w:rsidRPr="00D04063">
        <w:rPr>
          <w:rFonts w:eastAsiaTheme="minorEastAsia" w:hAnsi="Calibri"/>
          <w:color w:val="000000" w:themeColor="text1"/>
          <w:kern w:val="24"/>
        </w:rPr>
        <w:t>, the majority of students are male, about 4:1</w:t>
      </w:r>
      <w:r>
        <w:rPr>
          <w:rFonts w:eastAsiaTheme="minorEastAsia" w:hAnsi="Calibri"/>
          <w:color w:val="000000" w:themeColor="text1"/>
          <w:kern w:val="24"/>
        </w:rPr>
        <w:t>.</w:t>
      </w:r>
    </w:p>
    <w:p w14:paraId="69A9C8C9" w14:textId="77777777" w:rsidR="00527759" w:rsidRPr="00D04063" w:rsidRDefault="00527759" w:rsidP="00527759">
      <w:pPr>
        <w:spacing w:after="0"/>
        <w:contextualSpacing/>
        <w:rPr>
          <w:rFonts w:ascii="Times New Roman" w:hAnsi="Times New Roman"/>
        </w:rPr>
      </w:pPr>
    </w:p>
    <w:p w14:paraId="62EE99D0" w14:textId="77777777" w:rsidR="00527759" w:rsidRDefault="00527759" w:rsidP="00527759">
      <w:pPr>
        <w:spacing w:after="0"/>
        <w:contextualSpacing/>
        <w:rPr>
          <w:rFonts w:eastAsiaTheme="minorEastAsia" w:hAnsi="Calibri"/>
          <w:i/>
          <w:iCs/>
          <w:color w:val="000000" w:themeColor="text1"/>
          <w:kern w:val="24"/>
          <w:sz w:val="28"/>
          <w:szCs w:val="28"/>
        </w:rPr>
      </w:pPr>
    </w:p>
    <w:p w14:paraId="5776C195" w14:textId="77777777" w:rsidR="000D75BF" w:rsidRDefault="000D75BF">
      <w:pPr>
        <w:spacing w:after="0"/>
        <w:rPr>
          <w:rFonts w:asciiTheme="majorHAnsi" w:hAnsiTheme="majorHAnsi" w:cstheme="majorBidi"/>
          <w:b/>
          <w:bCs/>
          <w:color w:val="4472C4" w:themeColor="accent1"/>
          <w:sz w:val="24"/>
        </w:rPr>
      </w:pPr>
      <w:r>
        <w:br w:type="page"/>
      </w:r>
    </w:p>
    <w:p w14:paraId="768FBC44" w14:textId="12C9816C" w:rsidR="00527759" w:rsidRDefault="00527759" w:rsidP="007328B8">
      <w:bookmarkStart w:id="235" w:name="_Toc194324263"/>
      <w:r>
        <w:lastRenderedPageBreak/>
        <w:t>Ethnicity</w:t>
      </w:r>
      <w:bookmarkEnd w:id="235"/>
    </w:p>
    <w:p w14:paraId="6A191D83" w14:textId="77777777" w:rsidR="000D75BF" w:rsidRPr="000D75BF" w:rsidRDefault="000D75BF" w:rsidP="000D75BF"/>
    <w:p w14:paraId="033678A3" w14:textId="5C1BE9E2" w:rsidR="00527759" w:rsidRDefault="000B0CD0" w:rsidP="000D75BF">
      <w:pPr>
        <w:rPr>
          <w:rFonts w:ascii="Calibri" w:eastAsia="DengXian Light" w:hAnsi="Calibri" w:cs="Calibri"/>
          <w:b/>
          <w:bCs/>
          <w:color w:val="FF9900"/>
          <w:sz w:val="28"/>
          <w:szCs w:val="28"/>
        </w:rPr>
      </w:pPr>
      <w:r w:rsidRPr="00DB7E2D">
        <w:rPr>
          <w:noProof/>
        </w:rPr>
        <w:drawing>
          <wp:inline distT="0" distB="0" distL="0" distR="0" wp14:anchorId="1014EA74" wp14:editId="36404ECD">
            <wp:extent cx="6400800" cy="3601720"/>
            <wp:effectExtent l="0" t="0" r="0" b="0"/>
            <wp:docPr id="127824991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49910" name="Picture 1" descr="A screenshot of a graph&#10;&#10;Description automatically generated"/>
                    <pic:cNvPicPr/>
                  </pic:nvPicPr>
                  <pic:blipFill>
                    <a:blip r:embed="rId81"/>
                    <a:stretch>
                      <a:fillRect/>
                    </a:stretch>
                  </pic:blipFill>
                  <pic:spPr>
                    <a:xfrm>
                      <a:off x="0" y="0"/>
                      <a:ext cx="6400800" cy="3601720"/>
                    </a:xfrm>
                    <a:prstGeom prst="rect">
                      <a:avLst/>
                    </a:prstGeom>
                  </pic:spPr>
                </pic:pic>
              </a:graphicData>
            </a:graphic>
          </wp:inline>
        </w:drawing>
      </w:r>
    </w:p>
    <w:p w14:paraId="78EF4A13" w14:textId="77777777" w:rsidR="00CB2591" w:rsidRPr="002E038F" w:rsidRDefault="00527759" w:rsidP="00CB2591">
      <w:pPr>
        <w:spacing w:after="0"/>
        <w:contextualSpacing/>
        <w:rPr>
          <w:rFonts w:ascii="Times New Roman" w:hAnsi="Times New Roman"/>
          <w:sz w:val="20"/>
          <w:szCs w:val="20"/>
        </w:rPr>
      </w:pPr>
      <w:r w:rsidRPr="002E038F">
        <w:rPr>
          <w:rFonts w:eastAsiaTheme="minorEastAsia"/>
          <w:i/>
          <w:iCs/>
          <w:sz w:val="20"/>
          <w:szCs w:val="20"/>
        </w:rPr>
        <w:t>Source: Taft College Office of Institutional Research and Planning</w:t>
      </w:r>
      <w:r w:rsidR="002E038F" w:rsidRPr="002E038F">
        <w:rPr>
          <w:rFonts w:eastAsiaTheme="minorEastAsia"/>
          <w:i/>
          <w:iCs/>
          <w:sz w:val="20"/>
          <w:szCs w:val="20"/>
        </w:rPr>
        <w:t>.</w:t>
      </w:r>
      <w:r w:rsidR="00CB2591">
        <w:rPr>
          <w:rFonts w:eastAsiaTheme="minorEastAsia"/>
          <w:i/>
          <w:iCs/>
          <w:sz w:val="20"/>
          <w:szCs w:val="20"/>
        </w:rPr>
        <w:br/>
      </w:r>
      <w:r w:rsidR="00CB2591" w:rsidRPr="002E038F">
        <w:rPr>
          <w:rFonts w:eastAsiaTheme="minorEastAsia" w:hAnsi="Calibri"/>
          <w:i/>
          <w:iCs/>
          <w:color w:val="000000" w:themeColor="text1"/>
          <w:kern w:val="24"/>
          <w:sz w:val="20"/>
          <w:szCs w:val="20"/>
        </w:rPr>
        <w:t xml:space="preserve">Note: </w:t>
      </w:r>
      <w:r w:rsidR="00CB2591">
        <w:rPr>
          <w:rFonts w:eastAsiaTheme="minorEastAsia" w:hAnsi="Calibri"/>
          <w:i/>
          <w:iCs/>
          <w:color w:val="000000" w:themeColor="text1"/>
          <w:kern w:val="24"/>
          <w:sz w:val="20"/>
          <w:szCs w:val="20"/>
        </w:rPr>
        <w:t>T</w:t>
      </w:r>
      <w:r w:rsidR="00CB2591" w:rsidRPr="002E038F">
        <w:rPr>
          <w:rFonts w:eastAsiaTheme="minorEastAsia" w:hAnsi="Calibri"/>
          <w:i/>
          <w:iCs/>
          <w:color w:val="000000" w:themeColor="text1"/>
          <w:kern w:val="24"/>
          <w:sz w:val="20"/>
          <w:szCs w:val="20"/>
        </w:rPr>
        <w:t xml:space="preserve">he scale is different </w:t>
      </w:r>
      <w:r w:rsidR="00CB2591">
        <w:rPr>
          <w:rFonts w:eastAsiaTheme="minorEastAsia" w:hAnsi="Calibri"/>
          <w:i/>
          <w:iCs/>
          <w:color w:val="000000" w:themeColor="text1"/>
          <w:kern w:val="24"/>
          <w:sz w:val="20"/>
          <w:szCs w:val="20"/>
        </w:rPr>
        <w:t>for</w:t>
      </w:r>
      <w:r w:rsidR="00CB2591" w:rsidRPr="002E038F">
        <w:rPr>
          <w:rFonts w:eastAsiaTheme="minorEastAsia" w:hAnsi="Calibri"/>
          <w:i/>
          <w:iCs/>
          <w:color w:val="000000" w:themeColor="text1"/>
          <w:kern w:val="24"/>
          <w:sz w:val="20"/>
          <w:szCs w:val="20"/>
        </w:rPr>
        <w:t xml:space="preserve"> each chart.</w:t>
      </w:r>
    </w:p>
    <w:p w14:paraId="5BBEC979" w14:textId="0EF9A202" w:rsidR="00527759" w:rsidRPr="002E038F" w:rsidRDefault="00527759" w:rsidP="00304503">
      <w:pPr>
        <w:rPr>
          <w:rFonts w:eastAsiaTheme="minorEastAsia"/>
          <w:i/>
          <w:iCs/>
          <w:sz w:val="20"/>
          <w:szCs w:val="20"/>
        </w:rPr>
      </w:pPr>
    </w:p>
    <w:p w14:paraId="41441302" w14:textId="77777777" w:rsidR="00527759" w:rsidRPr="0074345A" w:rsidRDefault="00527759" w:rsidP="00527759">
      <w:pPr>
        <w:spacing w:after="0"/>
        <w:contextualSpacing/>
        <w:rPr>
          <w:rFonts w:eastAsiaTheme="minorEastAsia" w:hAnsi="Calibri"/>
          <w:color w:val="000000" w:themeColor="text1"/>
          <w:kern w:val="24"/>
        </w:rPr>
      </w:pPr>
    </w:p>
    <w:p w14:paraId="6B99FB5B" w14:textId="77777777" w:rsidR="00527759" w:rsidRDefault="00527759" w:rsidP="00527759">
      <w:pPr>
        <w:spacing w:after="0"/>
        <w:contextualSpacing/>
        <w:rPr>
          <w:rFonts w:eastAsiaTheme="minorEastAsia" w:hAnsi="Calibri"/>
          <w:color w:val="000000" w:themeColor="text1"/>
          <w:kern w:val="24"/>
        </w:rPr>
      </w:pPr>
    </w:p>
    <w:p w14:paraId="0D4CC4C7" w14:textId="68F8697C" w:rsidR="00527759" w:rsidRDefault="000B0CD0" w:rsidP="00527759">
      <w:pPr>
        <w:spacing w:after="0"/>
        <w:ind w:firstLine="720"/>
        <w:contextualSpacing/>
        <w:jc w:val="center"/>
        <w:rPr>
          <w:rFonts w:eastAsiaTheme="minorEastAsia" w:hAnsi="Calibri"/>
          <w:color w:val="000000" w:themeColor="text1"/>
          <w:kern w:val="24"/>
        </w:rPr>
      </w:pPr>
      <w:r w:rsidRPr="000B4E9F">
        <w:rPr>
          <w:rFonts w:eastAsiaTheme="minorEastAsia" w:hAnsi="Calibri"/>
          <w:noProof/>
          <w:color w:val="000000" w:themeColor="text1"/>
          <w:kern w:val="24"/>
        </w:rPr>
        <w:drawing>
          <wp:inline distT="0" distB="0" distL="0" distR="0" wp14:anchorId="4199A66D" wp14:editId="3E9275CB">
            <wp:extent cx="3566160" cy="2492740"/>
            <wp:effectExtent l="0" t="0" r="0" b="3175"/>
            <wp:docPr id="1326542033"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42033" name="Picture 1" descr="A close-up of a graph&#10;&#10;Description automatically generated"/>
                    <pic:cNvPicPr/>
                  </pic:nvPicPr>
                  <pic:blipFill>
                    <a:blip r:embed="rId82"/>
                    <a:stretch>
                      <a:fillRect/>
                    </a:stretch>
                  </pic:blipFill>
                  <pic:spPr>
                    <a:xfrm>
                      <a:off x="0" y="0"/>
                      <a:ext cx="3566160" cy="2492740"/>
                    </a:xfrm>
                    <a:prstGeom prst="rect">
                      <a:avLst/>
                    </a:prstGeom>
                  </pic:spPr>
                </pic:pic>
              </a:graphicData>
            </a:graphic>
          </wp:inline>
        </w:drawing>
      </w:r>
    </w:p>
    <w:p w14:paraId="5525BD5D" w14:textId="77777777" w:rsidR="00527759" w:rsidRDefault="00527759" w:rsidP="00527759">
      <w:pPr>
        <w:spacing w:after="0"/>
        <w:contextualSpacing/>
        <w:rPr>
          <w:rFonts w:eastAsiaTheme="minorEastAsia" w:hAnsi="Calibri"/>
          <w:color w:val="000000" w:themeColor="text1"/>
          <w:kern w:val="24"/>
        </w:rPr>
      </w:pPr>
    </w:p>
    <w:p w14:paraId="23DE8608" w14:textId="77777777" w:rsidR="00527759" w:rsidRDefault="00527759" w:rsidP="00527759">
      <w:pPr>
        <w:spacing w:after="0"/>
        <w:contextualSpacing/>
        <w:rPr>
          <w:rFonts w:eastAsiaTheme="minorEastAsia" w:hAnsi="Calibri"/>
          <w:color w:val="000000" w:themeColor="text1"/>
          <w:kern w:val="24"/>
        </w:rPr>
      </w:pPr>
    </w:p>
    <w:p w14:paraId="70B9CE2E" w14:textId="786B447D" w:rsidR="00527759" w:rsidRDefault="00527759" w:rsidP="00527759">
      <w:pPr>
        <w:spacing w:after="0"/>
        <w:contextualSpacing/>
        <w:rPr>
          <w:rFonts w:eastAsiaTheme="minorEastAsia" w:hAnsi="Calibri"/>
          <w:color w:val="000000" w:themeColor="text1"/>
          <w:kern w:val="24"/>
        </w:rPr>
      </w:pPr>
      <w:r w:rsidRPr="00A472EF">
        <w:rPr>
          <w:rFonts w:eastAsiaTheme="minorEastAsia" w:hAnsi="Calibri"/>
          <w:color w:val="000000" w:themeColor="text1"/>
          <w:kern w:val="24"/>
        </w:rPr>
        <w:t xml:space="preserve">At both the Taft campus and </w:t>
      </w:r>
      <w:r w:rsidR="00CE7648">
        <w:rPr>
          <w:rFonts w:eastAsiaTheme="minorEastAsia" w:hAnsi="Calibri"/>
          <w:color w:val="000000" w:themeColor="text1"/>
          <w:kern w:val="24"/>
        </w:rPr>
        <w:t>WESTEC</w:t>
      </w:r>
      <w:r w:rsidRPr="00A472EF">
        <w:rPr>
          <w:rFonts w:eastAsiaTheme="minorEastAsia" w:hAnsi="Calibri"/>
          <w:color w:val="000000" w:themeColor="text1"/>
          <w:kern w:val="24"/>
        </w:rPr>
        <w:t>, the majority of students are Latino, followed by Whites</w:t>
      </w:r>
      <w:r>
        <w:rPr>
          <w:rFonts w:eastAsiaTheme="minorEastAsia" w:hAnsi="Calibri"/>
          <w:color w:val="000000" w:themeColor="text1"/>
          <w:kern w:val="24"/>
        </w:rPr>
        <w:t>.</w:t>
      </w:r>
    </w:p>
    <w:p w14:paraId="23279D3E" w14:textId="77777777" w:rsidR="00527759" w:rsidRPr="0074345A" w:rsidRDefault="00527759" w:rsidP="00527759">
      <w:pPr>
        <w:spacing w:after="0"/>
        <w:contextualSpacing/>
        <w:rPr>
          <w:rFonts w:ascii="Times New Roman" w:hAnsi="Times New Roman"/>
        </w:rPr>
      </w:pPr>
    </w:p>
    <w:p w14:paraId="36B223C5" w14:textId="77777777" w:rsidR="00527759" w:rsidRDefault="00527759" w:rsidP="00527759">
      <w:pPr>
        <w:spacing w:after="0"/>
        <w:contextualSpacing/>
        <w:rPr>
          <w:rFonts w:eastAsiaTheme="minorEastAsia" w:hAnsi="Calibri"/>
          <w:color w:val="000000" w:themeColor="text1"/>
          <w:kern w:val="24"/>
          <w:sz w:val="28"/>
          <w:szCs w:val="28"/>
        </w:rPr>
      </w:pPr>
    </w:p>
    <w:p w14:paraId="615F8F4B" w14:textId="77777777" w:rsidR="002E038F" w:rsidRDefault="002E038F" w:rsidP="00F16EFC"/>
    <w:p w14:paraId="04DA1FE2" w14:textId="2A09157A" w:rsidR="000D75BF" w:rsidRPr="000D75BF" w:rsidRDefault="00527759" w:rsidP="007328B8">
      <w:bookmarkStart w:id="236" w:name="_Toc194324264"/>
      <w:r w:rsidRPr="000D75BF">
        <w:t>Age</w:t>
      </w:r>
      <w:bookmarkEnd w:id="236"/>
    </w:p>
    <w:p w14:paraId="36B62210" w14:textId="77777777" w:rsidR="001509DE" w:rsidRPr="001509DE" w:rsidRDefault="001509DE" w:rsidP="000D75BF"/>
    <w:p w14:paraId="54B737D1" w14:textId="47962562" w:rsidR="00527759" w:rsidRDefault="000B0CD0" w:rsidP="000D75BF">
      <w:pPr>
        <w:rPr>
          <w:rFonts w:ascii="Calibri" w:eastAsia="DengXian Light" w:hAnsi="Calibri" w:cs="Calibri"/>
          <w:b/>
          <w:bCs/>
          <w:color w:val="FF9900"/>
          <w:sz w:val="28"/>
          <w:szCs w:val="28"/>
        </w:rPr>
      </w:pPr>
      <w:r w:rsidRPr="00DB7E2D">
        <w:rPr>
          <w:noProof/>
        </w:rPr>
        <w:drawing>
          <wp:inline distT="0" distB="0" distL="0" distR="0" wp14:anchorId="2E1578FD" wp14:editId="41D5F148">
            <wp:extent cx="6400800" cy="3578860"/>
            <wp:effectExtent l="0" t="0" r="0" b="2540"/>
            <wp:docPr id="192368267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82673" name="Picture 1" descr="A screenshot of a graph&#10;&#10;Description automatically generated"/>
                    <pic:cNvPicPr/>
                  </pic:nvPicPr>
                  <pic:blipFill>
                    <a:blip r:embed="rId83"/>
                    <a:stretch>
                      <a:fillRect/>
                    </a:stretch>
                  </pic:blipFill>
                  <pic:spPr>
                    <a:xfrm>
                      <a:off x="0" y="0"/>
                      <a:ext cx="6400800" cy="3578860"/>
                    </a:xfrm>
                    <a:prstGeom prst="rect">
                      <a:avLst/>
                    </a:prstGeom>
                  </pic:spPr>
                </pic:pic>
              </a:graphicData>
            </a:graphic>
          </wp:inline>
        </w:drawing>
      </w:r>
    </w:p>
    <w:p w14:paraId="78A6FBDE" w14:textId="659F0733" w:rsidR="002E038F" w:rsidRDefault="00527759" w:rsidP="00CB2591">
      <w:pPr>
        <w:spacing w:after="0"/>
        <w:contextualSpacing/>
        <w:rPr>
          <w:rFonts w:eastAsiaTheme="minorEastAsia"/>
          <w:i/>
          <w:iCs/>
          <w:sz w:val="20"/>
          <w:szCs w:val="20"/>
        </w:rPr>
      </w:pPr>
      <w:r w:rsidRPr="002E038F">
        <w:rPr>
          <w:rFonts w:eastAsiaTheme="minorEastAsia"/>
          <w:i/>
          <w:iCs/>
          <w:sz w:val="20"/>
          <w:szCs w:val="20"/>
        </w:rPr>
        <w:t>Source: Taft College Office of Institutional Research and Planning</w:t>
      </w:r>
      <w:r w:rsidR="002E038F" w:rsidRPr="002E038F">
        <w:rPr>
          <w:rFonts w:eastAsiaTheme="minorEastAsia"/>
          <w:i/>
          <w:iCs/>
          <w:sz w:val="20"/>
          <w:szCs w:val="20"/>
        </w:rPr>
        <w:t>.</w:t>
      </w:r>
      <w:r w:rsidR="002E038F">
        <w:rPr>
          <w:rFonts w:eastAsiaTheme="minorEastAsia"/>
          <w:i/>
          <w:iCs/>
          <w:sz w:val="20"/>
          <w:szCs w:val="20"/>
        </w:rPr>
        <w:br/>
      </w:r>
      <w:r w:rsidR="00CB2591" w:rsidRPr="002E038F">
        <w:rPr>
          <w:rFonts w:eastAsiaTheme="minorEastAsia" w:hAnsi="Calibri"/>
          <w:i/>
          <w:iCs/>
          <w:color w:val="000000" w:themeColor="text1"/>
          <w:kern w:val="24"/>
          <w:sz w:val="20"/>
          <w:szCs w:val="20"/>
        </w:rPr>
        <w:t xml:space="preserve">Note: </w:t>
      </w:r>
      <w:r w:rsidR="00CB2591">
        <w:rPr>
          <w:rFonts w:eastAsiaTheme="minorEastAsia" w:hAnsi="Calibri"/>
          <w:i/>
          <w:iCs/>
          <w:color w:val="000000" w:themeColor="text1"/>
          <w:kern w:val="24"/>
          <w:sz w:val="20"/>
          <w:szCs w:val="20"/>
        </w:rPr>
        <w:t>T</w:t>
      </w:r>
      <w:r w:rsidR="00CB2591" w:rsidRPr="002E038F">
        <w:rPr>
          <w:rFonts w:eastAsiaTheme="minorEastAsia" w:hAnsi="Calibri"/>
          <w:i/>
          <w:iCs/>
          <w:color w:val="000000" w:themeColor="text1"/>
          <w:kern w:val="24"/>
          <w:sz w:val="20"/>
          <w:szCs w:val="20"/>
        </w:rPr>
        <w:t xml:space="preserve">he scale is different </w:t>
      </w:r>
      <w:r w:rsidR="00CB2591">
        <w:rPr>
          <w:rFonts w:eastAsiaTheme="minorEastAsia" w:hAnsi="Calibri"/>
          <w:i/>
          <w:iCs/>
          <w:color w:val="000000" w:themeColor="text1"/>
          <w:kern w:val="24"/>
          <w:sz w:val="20"/>
          <w:szCs w:val="20"/>
        </w:rPr>
        <w:t>for</w:t>
      </w:r>
      <w:r w:rsidR="00CB2591" w:rsidRPr="002E038F">
        <w:rPr>
          <w:rFonts w:eastAsiaTheme="minorEastAsia" w:hAnsi="Calibri"/>
          <w:i/>
          <w:iCs/>
          <w:color w:val="000000" w:themeColor="text1"/>
          <w:kern w:val="24"/>
          <w:sz w:val="20"/>
          <w:szCs w:val="20"/>
        </w:rPr>
        <w:t xml:space="preserve"> each chart.</w:t>
      </w:r>
    </w:p>
    <w:p w14:paraId="05AD3CDB" w14:textId="77777777" w:rsidR="002E038F" w:rsidRPr="002E038F" w:rsidRDefault="002E038F" w:rsidP="000D75BF">
      <w:pPr>
        <w:rPr>
          <w:rFonts w:eastAsiaTheme="minorEastAsia"/>
          <w:i/>
          <w:iCs/>
          <w:sz w:val="20"/>
          <w:szCs w:val="20"/>
        </w:rPr>
      </w:pPr>
    </w:p>
    <w:p w14:paraId="5A716ED6" w14:textId="77777777" w:rsidR="00527759" w:rsidRPr="006D5A87"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2"/>
          <w:szCs w:val="22"/>
        </w:rPr>
      </w:pPr>
    </w:p>
    <w:p w14:paraId="4CB5FB35" w14:textId="67A93C37" w:rsidR="00527759" w:rsidRDefault="000B0CD0" w:rsidP="00527759">
      <w:pPr>
        <w:spacing w:after="0"/>
        <w:contextualSpacing/>
        <w:jc w:val="center"/>
        <w:rPr>
          <w:rFonts w:eastAsiaTheme="minorEastAsia" w:hAnsi="Calibri"/>
          <w:color w:val="000000" w:themeColor="text1"/>
          <w:kern w:val="24"/>
        </w:rPr>
      </w:pPr>
      <w:r w:rsidRPr="000B4E9F">
        <w:rPr>
          <w:rFonts w:eastAsiaTheme="minorEastAsia" w:hAnsi="Calibri"/>
          <w:noProof/>
          <w:color w:val="000000" w:themeColor="text1"/>
          <w:kern w:val="24"/>
        </w:rPr>
        <w:drawing>
          <wp:inline distT="0" distB="0" distL="0" distR="0" wp14:anchorId="19E309A2" wp14:editId="35F54998">
            <wp:extent cx="3566160" cy="2180042"/>
            <wp:effectExtent l="0" t="0" r="0" b="0"/>
            <wp:docPr id="524727080" name="Picture 1" descr="A graph of percentages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27080" name="Picture 1" descr="A graph of percentages of a number&#10;&#10;Description automatically generated with medium confidence"/>
                    <pic:cNvPicPr/>
                  </pic:nvPicPr>
                  <pic:blipFill>
                    <a:blip r:embed="rId84"/>
                    <a:stretch>
                      <a:fillRect/>
                    </a:stretch>
                  </pic:blipFill>
                  <pic:spPr>
                    <a:xfrm>
                      <a:off x="0" y="0"/>
                      <a:ext cx="3566160" cy="2180042"/>
                    </a:xfrm>
                    <a:prstGeom prst="rect">
                      <a:avLst/>
                    </a:prstGeom>
                  </pic:spPr>
                </pic:pic>
              </a:graphicData>
            </a:graphic>
          </wp:inline>
        </w:drawing>
      </w:r>
    </w:p>
    <w:p w14:paraId="7C72F691" w14:textId="77777777" w:rsidR="00527759" w:rsidRDefault="00527759" w:rsidP="00527759">
      <w:pPr>
        <w:spacing w:after="0"/>
        <w:contextualSpacing/>
        <w:rPr>
          <w:rFonts w:eastAsiaTheme="minorEastAsia" w:hAnsi="Calibri"/>
          <w:color w:val="000000" w:themeColor="text1"/>
          <w:kern w:val="24"/>
        </w:rPr>
      </w:pPr>
    </w:p>
    <w:p w14:paraId="616A2278" w14:textId="77777777" w:rsidR="00527759" w:rsidRPr="00742091" w:rsidRDefault="00527759" w:rsidP="00527759"/>
    <w:p w14:paraId="3FB930EF" w14:textId="487CB249" w:rsidR="00527759" w:rsidRPr="00742091" w:rsidRDefault="00527759" w:rsidP="00527759">
      <w:pPr>
        <w:rPr>
          <w:rFonts w:ascii="Times New Roman" w:hAnsi="Times New Roman"/>
        </w:rPr>
      </w:pPr>
      <w:r w:rsidRPr="00742091">
        <w:t>At the Taft campus, the student population is younger</w:t>
      </w:r>
      <w:r w:rsidR="00B471F7">
        <w:t xml:space="preserve"> and is</w:t>
      </w:r>
      <w:r w:rsidRPr="00742091">
        <w:t xml:space="preserve"> more traditionally college</w:t>
      </w:r>
      <w:r w:rsidR="00B471F7">
        <w:t>-</w:t>
      </w:r>
      <w:r w:rsidRPr="00742091">
        <w:t>aged (24 and under)</w:t>
      </w:r>
      <w:r w:rsidR="00B471F7">
        <w:t>.</w:t>
      </w:r>
    </w:p>
    <w:p w14:paraId="3E970469" w14:textId="1522FC7D" w:rsidR="00527759" w:rsidRPr="00742091" w:rsidRDefault="00527759" w:rsidP="00527759">
      <w:pPr>
        <w:rPr>
          <w:rFonts w:ascii="Times New Roman" w:hAnsi="Times New Roman"/>
        </w:rPr>
      </w:pPr>
      <w:r w:rsidRPr="00742091">
        <w:t xml:space="preserve">At </w:t>
      </w:r>
      <w:r w:rsidR="00CE7648">
        <w:t>WESTEC</w:t>
      </w:r>
      <w:r w:rsidRPr="00742091">
        <w:t>, the student population is older, with the majority being 25 and older</w:t>
      </w:r>
      <w:r w:rsidR="00B471F7">
        <w:t>.</w:t>
      </w:r>
    </w:p>
    <w:p w14:paraId="6F119CE5" w14:textId="77777777" w:rsidR="00527759" w:rsidRDefault="00527759" w:rsidP="00527759">
      <w:pPr>
        <w:spacing w:after="0"/>
        <w:contextualSpacing/>
        <w:rPr>
          <w:rFonts w:eastAsiaTheme="minorEastAsia" w:hAnsi="Calibri"/>
          <w:i/>
          <w:iCs/>
          <w:color w:val="000000" w:themeColor="text1"/>
          <w:kern w:val="24"/>
          <w:sz w:val="28"/>
          <w:szCs w:val="28"/>
        </w:rPr>
      </w:pPr>
    </w:p>
    <w:p w14:paraId="36A90A17" w14:textId="77777777" w:rsidR="001509DE" w:rsidRDefault="001509DE">
      <w:pPr>
        <w:spacing w:after="0"/>
        <w:rPr>
          <w:rFonts w:asciiTheme="majorHAnsi" w:hAnsiTheme="majorHAnsi" w:cstheme="majorBidi"/>
          <w:b/>
          <w:bCs/>
          <w:color w:val="4472C4" w:themeColor="accent1"/>
          <w:sz w:val="24"/>
        </w:rPr>
      </w:pPr>
      <w:r>
        <w:br w:type="page"/>
      </w:r>
    </w:p>
    <w:p w14:paraId="11BCDD2D" w14:textId="3ECF6D83" w:rsidR="00527759" w:rsidRDefault="00527759" w:rsidP="007328B8">
      <w:bookmarkStart w:id="237" w:name="_Toc194324265"/>
      <w:r>
        <w:lastRenderedPageBreak/>
        <w:t>Special Admit</w:t>
      </w:r>
      <w:bookmarkEnd w:id="237"/>
    </w:p>
    <w:p w14:paraId="605F20CC" w14:textId="77777777" w:rsidR="001509DE" w:rsidRPr="001509DE" w:rsidRDefault="001509DE" w:rsidP="001509DE"/>
    <w:p w14:paraId="157DD50D" w14:textId="2184ED11" w:rsidR="00527759" w:rsidRDefault="000B0CD0" w:rsidP="00304503">
      <w:pPr>
        <w:rPr>
          <w:rFonts w:ascii="Calibri" w:eastAsia="DengXian Light" w:hAnsi="Calibri" w:cs="Calibri"/>
          <w:b/>
          <w:bCs/>
          <w:color w:val="FF9900"/>
          <w:sz w:val="28"/>
          <w:szCs w:val="28"/>
        </w:rPr>
      </w:pPr>
      <w:r w:rsidRPr="00DB7E2D">
        <w:rPr>
          <w:noProof/>
        </w:rPr>
        <w:drawing>
          <wp:inline distT="0" distB="0" distL="0" distR="0" wp14:anchorId="4EF9EA9D" wp14:editId="6E606F8D">
            <wp:extent cx="6400800" cy="3596640"/>
            <wp:effectExtent l="0" t="0" r="0" b="3810"/>
            <wp:docPr id="137696727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67270" name="Picture 1" descr="A screenshot of a graph&#10;&#10;Description automatically generated"/>
                    <pic:cNvPicPr/>
                  </pic:nvPicPr>
                  <pic:blipFill>
                    <a:blip r:embed="rId85"/>
                    <a:stretch>
                      <a:fillRect/>
                    </a:stretch>
                  </pic:blipFill>
                  <pic:spPr>
                    <a:xfrm>
                      <a:off x="0" y="0"/>
                      <a:ext cx="6400800" cy="3596640"/>
                    </a:xfrm>
                    <a:prstGeom prst="rect">
                      <a:avLst/>
                    </a:prstGeom>
                  </pic:spPr>
                </pic:pic>
              </a:graphicData>
            </a:graphic>
          </wp:inline>
        </w:drawing>
      </w:r>
    </w:p>
    <w:p w14:paraId="17631510" w14:textId="697E7357" w:rsidR="00527759" w:rsidRPr="002E038F" w:rsidRDefault="00527759" w:rsidP="00CB2591">
      <w:pPr>
        <w:spacing w:after="0"/>
        <w:contextualSpacing/>
        <w:rPr>
          <w:rFonts w:eastAsiaTheme="minorEastAsia"/>
          <w:i/>
          <w:iCs/>
          <w:sz w:val="20"/>
          <w:szCs w:val="20"/>
        </w:rPr>
      </w:pPr>
      <w:bookmarkStart w:id="238" w:name="_Hlk178430687"/>
      <w:r w:rsidRPr="002E038F">
        <w:rPr>
          <w:rFonts w:eastAsiaTheme="minorEastAsia"/>
          <w:i/>
          <w:iCs/>
          <w:sz w:val="20"/>
          <w:szCs w:val="20"/>
        </w:rPr>
        <w:t>Source: Taft College Office of Institutional Research and Planning</w:t>
      </w:r>
      <w:r w:rsidR="002E038F" w:rsidRPr="002E038F">
        <w:rPr>
          <w:rFonts w:eastAsiaTheme="minorEastAsia"/>
          <w:i/>
          <w:iCs/>
          <w:sz w:val="20"/>
          <w:szCs w:val="20"/>
        </w:rPr>
        <w:t>.</w:t>
      </w:r>
      <w:r w:rsidR="002E038F">
        <w:rPr>
          <w:rFonts w:eastAsiaTheme="minorEastAsia"/>
          <w:i/>
          <w:iCs/>
          <w:sz w:val="20"/>
          <w:szCs w:val="20"/>
        </w:rPr>
        <w:br/>
      </w:r>
      <w:r w:rsidR="00CB2591" w:rsidRPr="002E038F">
        <w:rPr>
          <w:rFonts w:eastAsiaTheme="minorEastAsia" w:hAnsi="Calibri"/>
          <w:i/>
          <w:iCs/>
          <w:color w:val="000000" w:themeColor="text1"/>
          <w:kern w:val="24"/>
          <w:sz w:val="20"/>
          <w:szCs w:val="20"/>
        </w:rPr>
        <w:t xml:space="preserve">Note: </w:t>
      </w:r>
      <w:r w:rsidR="00CB2591">
        <w:rPr>
          <w:rFonts w:eastAsiaTheme="minorEastAsia" w:hAnsi="Calibri"/>
          <w:i/>
          <w:iCs/>
          <w:color w:val="000000" w:themeColor="text1"/>
          <w:kern w:val="24"/>
          <w:sz w:val="20"/>
          <w:szCs w:val="20"/>
        </w:rPr>
        <w:t>T</w:t>
      </w:r>
      <w:r w:rsidR="00CB2591" w:rsidRPr="002E038F">
        <w:rPr>
          <w:rFonts w:eastAsiaTheme="minorEastAsia" w:hAnsi="Calibri"/>
          <w:i/>
          <w:iCs/>
          <w:color w:val="000000" w:themeColor="text1"/>
          <w:kern w:val="24"/>
          <w:sz w:val="20"/>
          <w:szCs w:val="20"/>
        </w:rPr>
        <w:t xml:space="preserve">he scale is different </w:t>
      </w:r>
      <w:r w:rsidR="00CB2591">
        <w:rPr>
          <w:rFonts w:eastAsiaTheme="minorEastAsia" w:hAnsi="Calibri"/>
          <w:i/>
          <w:iCs/>
          <w:color w:val="000000" w:themeColor="text1"/>
          <w:kern w:val="24"/>
          <w:sz w:val="20"/>
          <w:szCs w:val="20"/>
        </w:rPr>
        <w:t>for</w:t>
      </w:r>
      <w:r w:rsidR="00CB2591" w:rsidRPr="002E038F">
        <w:rPr>
          <w:rFonts w:eastAsiaTheme="minorEastAsia" w:hAnsi="Calibri"/>
          <w:i/>
          <w:iCs/>
          <w:color w:val="000000" w:themeColor="text1"/>
          <w:kern w:val="24"/>
          <w:sz w:val="20"/>
          <w:szCs w:val="20"/>
        </w:rPr>
        <w:t xml:space="preserve"> each chart.</w:t>
      </w:r>
    </w:p>
    <w:bookmarkEnd w:id="238"/>
    <w:p w14:paraId="4F2BC946" w14:textId="77777777" w:rsidR="00527759" w:rsidRPr="006D5A87" w:rsidRDefault="00527759" w:rsidP="00527759">
      <w:pPr>
        <w:spacing w:after="0"/>
        <w:contextualSpacing/>
        <w:rPr>
          <w:rFonts w:ascii="Times New Roman" w:hAnsi="Times New Roman"/>
          <w:sz w:val="28"/>
        </w:rPr>
      </w:pPr>
    </w:p>
    <w:p w14:paraId="5DD560B0" w14:textId="77777777" w:rsidR="00527759" w:rsidRDefault="00527759" w:rsidP="00527759">
      <w:pPr>
        <w:spacing w:after="0"/>
        <w:contextualSpacing/>
        <w:rPr>
          <w:rFonts w:eastAsiaTheme="minorEastAsia" w:hAnsi="Calibri"/>
          <w:color w:val="000000" w:themeColor="text1"/>
          <w:kern w:val="24"/>
        </w:rPr>
      </w:pPr>
      <w:r w:rsidRPr="00D537C4">
        <w:rPr>
          <w:rFonts w:eastAsiaTheme="minorEastAsia" w:hAnsi="Calibri"/>
          <w:color w:val="000000" w:themeColor="text1"/>
          <w:kern w:val="24"/>
        </w:rPr>
        <w:t>The vast majority of Taft College students who are “Special Admit” are enrolled at the Taft campus</w:t>
      </w:r>
      <w:r>
        <w:rPr>
          <w:rFonts w:eastAsiaTheme="minorEastAsia" w:hAnsi="Calibri"/>
          <w:color w:val="000000" w:themeColor="text1"/>
          <w:kern w:val="24"/>
        </w:rPr>
        <w:t>.</w:t>
      </w:r>
    </w:p>
    <w:p w14:paraId="5DEB2D1B" w14:textId="77777777" w:rsidR="00527759" w:rsidRPr="00D537C4" w:rsidRDefault="00527759" w:rsidP="00527759">
      <w:pPr>
        <w:spacing w:after="0"/>
        <w:contextualSpacing/>
        <w:rPr>
          <w:rFonts w:ascii="Times New Roman" w:hAnsi="Times New Roman"/>
        </w:rPr>
      </w:pPr>
    </w:p>
    <w:p w14:paraId="222E579A" w14:textId="77777777" w:rsidR="00527759" w:rsidRDefault="00527759" w:rsidP="00527759">
      <w:pPr>
        <w:spacing w:after="0"/>
        <w:contextualSpacing/>
        <w:rPr>
          <w:rFonts w:eastAsiaTheme="minorEastAsia" w:hAnsi="Calibri"/>
          <w:color w:val="000000" w:themeColor="text1"/>
          <w:kern w:val="24"/>
        </w:rPr>
      </w:pPr>
      <w:r w:rsidRPr="00D537C4">
        <w:rPr>
          <w:rFonts w:eastAsiaTheme="minorEastAsia" w:hAnsi="Calibri"/>
          <w:color w:val="000000" w:themeColor="text1"/>
          <w:kern w:val="24"/>
        </w:rPr>
        <w:t>The number of Special Admit students has tripled since before the Pandemic</w:t>
      </w:r>
      <w:r>
        <w:rPr>
          <w:rFonts w:eastAsiaTheme="minorEastAsia" w:hAnsi="Calibri"/>
          <w:color w:val="000000" w:themeColor="text1"/>
          <w:kern w:val="24"/>
        </w:rPr>
        <w:t>, from 163 in 2016-2017 to 480 in 2023-2024.</w:t>
      </w:r>
    </w:p>
    <w:p w14:paraId="66E36CE9" w14:textId="77777777" w:rsidR="00527759" w:rsidRPr="00D537C4" w:rsidRDefault="00527759" w:rsidP="00527759">
      <w:pPr>
        <w:spacing w:after="0"/>
        <w:contextualSpacing/>
        <w:rPr>
          <w:rFonts w:ascii="Times New Roman" w:hAnsi="Times New Roman"/>
        </w:rPr>
      </w:pPr>
    </w:p>
    <w:p w14:paraId="3DD608CD" w14:textId="77777777" w:rsidR="00527759" w:rsidRDefault="00527759" w:rsidP="00527759">
      <w:pPr>
        <w:spacing w:after="0"/>
        <w:contextualSpacing/>
        <w:rPr>
          <w:rFonts w:eastAsiaTheme="minorEastAsia" w:hAnsi="Calibri"/>
          <w:color w:val="000000" w:themeColor="text1"/>
          <w:kern w:val="24"/>
        </w:rPr>
      </w:pPr>
      <w:r w:rsidRPr="00D537C4">
        <w:rPr>
          <w:rFonts w:eastAsiaTheme="minorEastAsia" w:hAnsi="Calibri"/>
          <w:color w:val="000000" w:themeColor="text1"/>
          <w:kern w:val="24"/>
        </w:rPr>
        <w:t>In 2023-2024, Special Admit students accounted for 14% of headcount at the Taft campus (and 5% of FTES, which is not shown on this chart)</w:t>
      </w:r>
      <w:r>
        <w:rPr>
          <w:rFonts w:eastAsiaTheme="minorEastAsia" w:hAnsi="Calibri"/>
          <w:color w:val="000000" w:themeColor="text1"/>
          <w:kern w:val="24"/>
        </w:rPr>
        <w:t>.</w:t>
      </w:r>
    </w:p>
    <w:p w14:paraId="571C785D" w14:textId="77777777" w:rsidR="00527759" w:rsidRPr="00D537C4" w:rsidRDefault="00527759" w:rsidP="00527759">
      <w:pPr>
        <w:spacing w:after="0"/>
        <w:contextualSpacing/>
        <w:rPr>
          <w:rFonts w:ascii="Times New Roman" w:hAnsi="Times New Roman"/>
        </w:rPr>
      </w:pPr>
    </w:p>
    <w:p w14:paraId="6006E487" w14:textId="77777777" w:rsidR="00527759" w:rsidRDefault="00527759" w:rsidP="00527759">
      <w:pPr>
        <w:spacing w:after="0"/>
        <w:contextualSpacing/>
        <w:rPr>
          <w:rFonts w:eastAsiaTheme="minorEastAsia" w:hAnsi="Calibri"/>
          <w:i/>
          <w:iCs/>
          <w:color w:val="000000" w:themeColor="text1"/>
          <w:kern w:val="24"/>
          <w:sz w:val="28"/>
          <w:szCs w:val="28"/>
        </w:rPr>
      </w:pPr>
    </w:p>
    <w:p w14:paraId="0379F9F8" w14:textId="77777777" w:rsidR="00527759" w:rsidRDefault="00527759" w:rsidP="00527759">
      <w:pPr>
        <w:rPr>
          <w:rFonts w:ascii="Calibri" w:eastAsia="DengXian Light" w:hAnsi="Calibri" w:cs="Calibri"/>
          <w:b/>
          <w:bCs/>
          <w:color w:val="FF9900"/>
          <w:sz w:val="28"/>
          <w:szCs w:val="28"/>
        </w:rPr>
      </w:pPr>
      <w:r>
        <w:br w:type="page"/>
      </w:r>
    </w:p>
    <w:p w14:paraId="79775A49" w14:textId="1400DF25" w:rsidR="00527759" w:rsidRDefault="00527759" w:rsidP="007328B8">
      <w:bookmarkStart w:id="239" w:name="_Toc194324266"/>
      <w:r>
        <w:lastRenderedPageBreak/>
        <w:t xml:space="preserve">Student Type (excludes </w:t>
      </w:r>
      <w:r w:rsidR="00CE7648">
        <w:t>WESTEC</w:t>
      </w:r>
      <w:r>
        <w:t>)</w:t>
      </w:r>
      <w:bookmarkEnd w:id="239"/>
    </w:p>
    <w:p w14:paraId="06C7B855" w14:textId="77777777" w:rsidR="001509DE" w:rsidRPr="001509DE" w:rsidRDefault="001509DE" w:rsidP="001509DE"/>
    <w:tbl>
      <w:tblPr>
        <w:tblW w:w="5374" w:type="dxa"/>
        <w:jc w:val="center"/>
        <w:tblCellMar>
          <w:left w:w="0" w:type="dxa"/>
          <w:right w:w="0" w:type="dxa"/>
        </w:tblCellMar>
        <w:tblLook w:val="0420" w:firstRow="1" w:lastRow="0" w:firstColumn="0" w:lastColumn="0" w:noHBand="0" w:noVBand="1"/>
      </w:tblPr>
      <w:tblGrid>
        <w:gridCol w:w="2992"/>
        <w:gridCol w:w="1152"/>
        <w:gridCol w:w="1230"/>
      </w:tblGrid>
      <w:tr w:rsidR="00527759" w:rsidRPr="00E91FBB" w14:paraId="313766AA" w14:textId="77777777" w:rsidTr="00B13ECD">
        <w:trPr>
          <w:trHeight w:val="405"/>
          <w:jc w:val="center"/>
        </w:trPr>
        <w:tc>
          <w:tcPr>
            <w:tcW w:w="2992" w:type="dxa"/>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14:paraId="72CF8F63" w14:textId="77777777" w:rsidR="00527759" w:rsidRPr="00E91FBB" w:rsidRDefault="00527759" w:rsidP="00B13ECD">
            <w:pPr>
              <w:spacing w:after="0"/>
              <w:jc w:val="center"/>
              <w:rPr>
                <w:rFonts w:ascii="Arial" w:hAnsi="Arial" w:cs="Arial"/>
                <w:sz w:val="24"/>
              </w:rPr>
            </w:pPr>
            <w:r w:rsidRPr="00E91FBB">
              <w:rPr>
                <w:rFonts w:ascii="Calibri" w:hAnsi="Calibri" w:cs="Calibri"/>
                <w:b/>
                <w:bCs/>
                <w:color w:val="FFFFFF" w:themeColor="light1"/>
                <w:kern w:val="24"/>
                <w:sz w:val="24"/>
              </w:rPr>
              <w:t>Fall 2023 Enrollment Status</w:t>
            </w:r>
          </w:p>
        </w:tc>
        <w:tc>
          <w:tcPr>
            <w:tcW w:w="1152" w:type="dxa"/>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14:paraId="1FBCC652" w14:textId="77777777" w:rsidR="00527759" w:rsidRPr="00E91FBB" w:rsidRDefault="00527759" w:rsidP="00B13ECD">
            <w:pPr>
              <w:spacing w:after="0"/>
              <w:jc w:val="center"/>
              <w:rPr>
                <w:rFonts w:ascii="Arial" w:hAnsi="Arial" w:cs="Arial"/>
                <w:sz w:val="24"/>
              </w:rPr>
            </w:pPr>
            <w:r w:rsidRPr="00E91FBB">
              <w:rPr>
                <w:rFonts w:ascii="Calibri" w:hAnsi="Calibri" w:cs="Calibri"/>
                <w:b/>
                <w:bCs/>
                <w:color w:val="FFFFFF" w:themeColor="light1"/>
                <w:kern w:val="24"/>
                <w:sz w:val="24"/>
              </w:rPr>
              <w:t>Taft campus</w:t>
            </w:r>
          </w:p>
        </w:tc>
        <w:tc>
          <w:tcPr>
            <w:tcW w:w="1230" w:type="dxa"/>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14:paraId="28110D49" w14:textId="77777777" w:rsidR="00527759" w:rsidRPr="00E91FBB" w:rsidRDefault="00527759" w:rsidP="00B13ECD">
            <w:pPr>
              <w:spacing w:after="0"/>
              <w:jc w:val="center"/>
              <w:rPr>
                <w:rFonts w:ascii="Arial" w:hAnsi="Arial" w:cs="Arial"/>
                <w:sz w:val="24"/>
              </w:rPr>
            </w:pPr>
            <w:r w:rsidRPr="00E91FBB">
              <w:rPr>
                <w:rFonts w:ascii="Calibri" w:hAnsi="Calibri" w:cs="Calibri"/>
                <w:b/>
                <w:bCs/>
                <w:color w:val="FFFFFF" w:themeColor="light1"/>
                <w:kern w:val="24"/>
                <w:sz w:val="24"/>
              </w:rPr>
              <w:t>CCCs</w:t>
            </w:r>
          </w:p>
        </w:tc>
      </w:tr>
      <w:tr w:rsidR="00527759" w:rsidRPr="00E91FBB" w14:paraId="735E5A7B" w14:textId="77777777" w:rsidTr="00B13ECD">
        <w:trPr>
          <w:trHeight w:val="405"/>
          <w:jc w:val="center"/>
        </w:trPr>
        <w:tc>
          <w:tcPr>
            <w:tcW w:w="2992" w:type="dxa"/>
            <w:tcBorders>
              <w:top w:val="single" w:sz="24"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356A43A0" w14:textId="77777777" w:rsidR="00527759" w:rsidRPr="00E91FBB" w:rsidRDefault="00527759" w:rsidP="00B13ECD">
            <w:pPr>
              <w:spacing w:after="0"/>
              <w:rPr>
                <w:rFonts w:ascii="Arial" w:hAnsi="Arial" w:cs="Arial"/>
                <w:sz w:val="24"/>
              </w:rPr>
            </w:pPr>
            <w:r w:rsidRPr="00E91FBB">
              <w:rPr>
                <w:rFonts w:ascii="Calibri" w:hAnsi="Calibri" w:cs="Calibri"/>
                <w:color w:val="000000" w:themeColor="dark1"/>
                <w:kern w:val="24"/>
                <w:sz w:val="24"/>
              </w:rPr>
              <w:t>First-Time Student</w:t>
            </w:r>
          </w:p>
        </w:tc>
        <w:tc>
          <w:tcPr>
            <w:tcW w:w="1152" w:type="dxa"/>
            <w:tcBorders>
              <w:top w:val="single" w:sz="24" w:space="0" w:color="FFFFFF"/>
              <w:left w:val="single" w:sz="8" w:space="0" w:color="FFFFFF"/>
              <w:bottom w:val="single" w:sz="8" w:space="0" w:color="FFFFFF"/>
              <w:right w:val="single" w:sz="8" w:space="0" w:color="FFFFFF"/>
            </w:tcBorders>
            <w:shd w:val="clear" w:color="auto" w:fill="F5D9CC"/>
            <w:tcMar>
              <w:top w:w="10" w:type="dxa"/>
              <w:left w:w="10" w:type="dxa"/>
              <w:bottom w:w="0" w:type="dxa"/>
              <w:right w:w="10" w:type="dxa"/>
            </w:tcMar>
            <w:vAlign w:val="bottom"/>
            <w:hideMark/>
          </w:tcPr>
          <w:p w14:paraId="48B12FFC"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color w:val="000000"/>
                <w:kern w:val="24"/>
                <w:sz w:val="24"/>
              </w:rPr>
              <w:t>18.2%</w:t>
            </w:r>
          </w:p>
        </w:tc>
        <w:tc>
          <w:tcPr>
            <w:tcW w:w="1230" w:type="dxa"/>
            <w:tcBorders>
              <w:top w:val="single" w:sz="24" w:space="0" w:color="FFFFFF"/>
              <w:left w:val="single" w:sz="8" w:space="0" w:color="FFFFFF"/>
              <w:bottom w:val="single" w:sz="8" w:space="0" w:color="FFFFFF"/>
              <w:right w:val="single" w:sz="8" w:space="0" w:color="FFFFFF"/>
            </w:tcBorders>
            <w:shd w:val="clear" w:color="auto" w:fill="F5D9CC"/>
            <w:tcMar>
              <w:top w:w="10" w:type="dxa"/>
              <w:left w:w="10" w:type="dxa"/>
              <w:bottom w:w="0" w:type="dxa"/>
              <w:right w:w="10" w:type="dxa"/>
            </w:tcMar>
            <w:vAlign w:val="bottom"/>
            <w:hideMark/>
          </w:tcPr>
          <w:p w14:paraId="508AAEBD"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color w:val="000000"/>
                <w:kern w:val="24"/>
                <w:sz w:val="24"/>
              </w:rPr>
              <w:t>17.5%</w:t>
            </w:r>
          </w:p>
        </w:tc>
      </w:tr>
      <w:tr w:rsidR="00527759" w:rsidRPr="00E91FBB" w14:paraId="03109EC3" w14:textId="77777777" w:rsidTr="00B13ECD">
        <w:trPr>
          <w:trHeight w:val="406"/>
          <w:jc w:val="center"/>
        </w:trPr>
        <w:tc>
          <w:tcPr>
            <w:tcW w:w="2992"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05C20803" w14:textId="77777777" w:rsidR="00527759" w:rsidRPr="00E91FBB" w:rsidRDefault="00527759" w:rsidP="00B13ECD">
            <w:pPr>
              <w:spacing w:after="0"/>
              <w:rPr>
                <w:rFonts w:ascii="Arial" w:hAnsi="Arial" w:cs="Arial"/>
                <w:sz w:val="24"/>
              </w:rPr>
            </w:pPr>
            <w:r w:rsidRPr="00E91FBB">
              <w:rPr>
                <w:rFonts w:ascii="Calibri" w:hAnsi="Calibri" w:cs="Calibri"/>
                <w:color w:val="000000" w:themeColor="dark1"/>
                <w:kern w:val="24"/>
                <w:sz w:val="24"/>
              </w:rPr>
              <w:t>First-Time Transfer Student</w:t>
            </w:r>
          </w:p>
        </w:tc>
        <w:tc>
          <w:tcPr>
            <w:tcW w:w="1152"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FBA2125"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color w:val="000000"/>
                <w:kern w:val="24"/>
                <w:sz w:val="24"/>
              </w:rPr>
              <w:t>16.8%</w:t>
            </w:r>
          </w:p>
        </w:tc>
        <w:tc>
          <w:tcPr>
            <w:tcW w:w="123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2968247"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color w:val="000000"/>
                <w:kern w:val="24"/>
                <w:sz w:val="24"/>
              </w:rPr>
              <w:t>7.9%</w:t>
            </w:r>
          </w:p>
        </w:tc>
      </w:tr>
      <w:tr w:rsidR="00527759" w:rsidRPr="00E91FBB" w14:paraId="3AF791BF" w14:textId="77777777" w:rsidTr="00B13ECD">
        <w:trPr>
          <w:trHeight w:val="405"/>
          <w:jc w:val="center"/>
        </w:trPr>
        <w:tc>
          <w:tcPr>
            <w:tcW w:w="2992"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2FA73E76" w14:textId="77777777" w:rsidR="00527759" w:rsidRPr="00E91FBB" w:rsidRDefault="00527759" w:rsidP="00B13ECD">
            <w:pPr>
              <w:spacing w:after="0"/>
              <w:rPr>
                <w:rFonts w:ascii="Arial" w:hAnsi="Arial" w:cs="Arial"/>
                <w:sz w:val="24"/>
              </w:rPr>
            </w:pPr>
            <w:r w:rsidRPr="00E91FBB">
              <w:rPr>
                <w:rFonts w:ascii="Calibri" w:hAnsi="Calibri" w:cs="Calibri"/>
                <w:color w:val="000000" w:themeColor="dark1"/>
                <w:kern w:val="24"/>
                <w:sz w:val="24"/>
              </w:rPr>
              <w:t>Returning Student</w:t>
            </w:r>
          </w:p>
        </w:tc>
        <w:tc>
          <w:tcPr>
            <w:tcW w:w="1152" w:type="dxa"/>
            <w:tcBorders>
              <w:top w:val="single" w:sz="8" w:space="0" w:color="FFFFFF"/>
              <w:left w:val="single" w:sz="8" w:space="0" w:color="FFFFFF"/>
              <w:bottom w:val="single" w:sz="8" w:space="0" w:color="FFFFFF"/>
              <w:right w:val="single" w:sz="8" w:space="0" w:color="FFFFFF"/>
            </w:tcBorders>
            <w:shd w:val="clear" w:color="auto" w:fill="F5D9CC"/>
            <w:tcMar>
              <w:top w:w="10" w:type="dxa"/>
              <w:left w:w="10" w:type="dxa"/>
              <w:bottom w:w="0" w:type="dxa"/>
              <w:right w:w="10" w:type="dxa"/>
            </w:tcMar>
            <w:vAlign w:val="bottom"/>
            <w:hideMark/>
          </w:tcPr>
          <w:p w14:paraId="3E14015F"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color w:val="000000"/>
                <w:kern w:val="24"/>
                <w:sz w:val="24"/>
              </w:rPr>
              <w:t>13.0%</w:t>
            </w:r>
          </w:p>
        </w:tc>
        <w:tc>
          <w:tcPr>
            <w:tcW w:w="1230" w:type="dxa"/>
            <w:tcBorders>
              <w:top w:val="single" w:sz="8" w:space="0" w:color="FFFFFF"/>
              <w:left w:val="single" w:sz="8" w:space="0" w:color="FFFFFF"/>
              <w:bottom w:val="single" w:sz="8" w:space="0" w:color="FFFFFF"/>
              <w:right w:val="single" w:sz="8" w:space="0" w:color="FFFFFF"/>
            </w:tcBorders>
            <w:shd w:val="clear" w:color="auto" w:fill="F5D9CC"/>
            <w:tcMar>
              <w:top w:w="10" w:type="dxa"/>
              <w:left w:w="10" w:type="dxa"/>
              <w:bottom w:w="0" w:type="dxa"/>
              <w:right w:w="10" w:type="dxa"/>
            </w:tcMar>
            <w:vAlign w:val="bottom"/>
            <w:hideMark/>
          </w:tcPr>
          <w:p w14:paraId="20857573"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color w:val="000000"/>
                <w:kern w:val="24"/>
                <w:sz w:val="24"/>
              </w:rPr>
              <w:t>12.1%</w:t>
            </w:r>
          </w:p>
        </w:tc>
      </w:tr>
      <w:tr w:rsidR="00527759" w:rsidRPr="00E91FBB" w14:paraId="25F928B5" w14:textId="77777777" w:rsidTr="00B13ECD">
        <w:trPr>
          <w:trHeight w:val="405"/>
          <w:jc w:val="center"/>
        </w:trPr>
        <w:tc>
          <w:tcPr>
            <w:tcW w:w="2992"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469F257A" w14:textId="77777777" w:rsidR="00527759" w:rsidRPr="00E91FBB" w:rsidRDefault="00527759" w:rsidP="00B13ECD">
            <w:pPr>
              <w:spacing w:after="0"/>
              <w:rPr>
                <w:rFonts w:ascii="Arial" w:hAnsi="Arial" w:cs="Arial"/>
                <w:sz w:val="24"/>
              </w:rPr>
            </w:pPr>
            <w:r w:rsidRPr="00E91FBB">
              <w:rPr>
                <w:rFonts w:ascii="Calibri" w:hAnsi="Calibri" w:cs="Calibri"/>
                <w:color w:val="000000" w:themeColor="dark1"/>
                <w:kern w:val="24"/>
                <w:sz w:val="24"/>
              </w:rPr>
              <w:t>Continuing Student</w:t>
            </w:r>
          </w:p>
        </w:tc>
        <w:tc>
          <w:tcPr>
            <w:tcW w:w="1152"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626D9209"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color w:val="000000"/>
                <w:kern w:val="24"/>
                <w:sz w:val="24"/>
              </w:rPr>
              <w:t>41.0%</w:t>
            </w:r>
          </w:p>
        </w:tc>
        <w:tc>
          <w:tcPr>
            <w:tcW w:w="123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0883F82"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color w:val="000000"/>
                <w:kern w:val="24"/>
                <w:sz w:val="24"/>
              </w:rPr>
              <w:t>51.2%</w:t>
            </w:r>
          </w:p>
        </w:tc>
      </w:tr>
      <w:tr w:rsidR="00527759" w:rsidRPr="00E91FBB" w14:paraId="3A2D74EF" w14:textId="77777777" w:rsidTr="00B13ECD">
        <w:trPr>
          <w:trHeight w:val="405"/>
          <w:jc w:val="center"/>
        </w:trPr>
        <w:tc>
          <w:tcPr>
            <w:tcW w:w="2992"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629B705C" w14:textId="77777777" w:rsidR="00527759" w:rsidRPr="00E91FBB" w:rsidRDefault="00527759" w:rsidP="00B13ECD">
            <w:pPr>
              <w:spacing w:after="0"/>
              <w:rPr>
                <w:rFonts w:ascii="Arial" w:hAnsi="Arial" w:cs="Arial"/>
                <w:sz w:val="24"/>
              </w:rPr>
            </w:pPr>
            <w:r w:rsidRPr="00E91FBB">
              <w:rPr>
                <w:rFonts w:ascii="Calibri" w:hAnsi="Calibri" w:cs="Calibri"/>
                <w:color w:val="000000" w:themeColor="dark1"/>
                <w:kern w:val="24"/>
                <w:sz w:val="24"/>
              </w:rPr>
              <w:t>Special Admit Student</w:t>
            </w:r>
          </w:p>
        </w:tc>
        <w:tc>
          <w:tcPr>
            <w:tcW w:w="1152" w:type="dxa"/>
            <w:tcBorders>
              <w:top w:val="single" w:sz="8" w:space="0" w:color="FFFFFF"/>
              <w:left w:val="single" w:sz="8" w:space="0" w:color="FFFFFF"/>
              <w:bottom w:val="single" w:sz="8" w:space="0" w:color="FFFFFF"/>
              <w:right w:val="single" w:sz="8" w:space="0" w:color="FFFFFF"/>
            </w:tcBorders>
            <w:shd w:val="clear" w:color="auto" w:fill="F5D9CC"/>
            <w:tcMar>
              <w:top w:w="10" w:type="dxa"/>
              <w:left w:w="10" w:type="dxa"/>
              <w:bottom w:w="0" w:type="dxa"/>
              <w:right w:w="10" w:type="dxa"/>
            </w:tcMar>
            <w:vAlign w:val="bottom"/>
            <w:hideMark/>
          </w:tcPr>
          <w:p w14:paraId="003253A4"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color w:val="000000"/>
                <w:kern w:val="24"/>
                <w:sz w:val="24"/>
              </w:rPr>
              <w:t>10.9%</w:t>
            </w:r>
          </w:p>
        </w:tc>
        <w:tc>
          <w:tcPr>
            <w:tcW w:w="1230" w:type="dxa"/>
            <w:tcBorders>
              <w:top w:val="single" w:sz="8" w:space="0" w:color="FFFFFF"/>
              <w:left w:val="single" w:sz="8" w:space="0" w:color="FFFFFF"/>
              <w:bottom w:val="single" w:sz="8" w:space="0" w:color="FFFFFF"/>
              <w:right w:val="single" w:sz="8" w:space="0" w:color="FFFFFF"/>
            </w:tcBorders>
            <w:shd w:val="clear" w:color="auto" w:fill="F5D9CC"/>
            <w:tcMar>
              <w:top w:w="10" w:type="dxa"/>
              <w:left w:w="10" w:type="dxa"/>
              <w:bottom w:w="0" w:type="dxa"/>
              <w:right w:w="10" w:type="dxa"/>
            </w:tcMar>
            <w:vAlign w:val="bottom"/>
            <w:hideMark/>
          </w:tcPr>
          <w:p w14:paraId="25BF625E"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color w:val="000000"/>
                <w:kern w:val="24"/>
                <w:sz w:val="24"/>
              </w:rPr>
              <w:t>11.2%</w:t>
            </w:r>
          </w:p>
        </w:tc>
      </w:tr>
      <w:tr w:rsidR="00527759" w:rsidRPr="00E91FBB" w14:paraId="1AD68192" w14:textId="77777777" w:rsidTr="00B13ECD">
        <w:trPr>
          <w:trHeight w:val="405"/>
          <w:jc w:val="center"/>
        </w:trPr>
        <w:tc>
          <w:tcPr>
            <w:tcW w:w="2992"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7CEBD34E" w14:textId="77777777" w:rsidR="00527759" w:rsidRPr="00E91FBB" w:rsidRDefault="00527759" w:rsidP="00B13ECD">
            <w:pPr>
              <w:spacing w:after="0"/>
              <w:rPr>
                <w:rFonts w:ascii="Arial" w:hAnsi="Arial" w:cs="Arial"/>
                <w:sz w:val="24"/>
              </w:rPr>
            </w:pPr>
            <w:r w:rsidRPr="00E91FBB">
              <w:rPr>
                <w:rFonts w:ascii="Calibri" w:hAnsi="Calibri" w:cs="Calibri"/>
                <w:i/>
                <w:iCs/>
                <w:color w:val="000000" w:themeColor="dark1"/>
                <w:kern w:val="24"/>
                <w:sz w:val="24"/>
              </w:rPr>
              <w:t>Total Number</w:t>
            </w:r>
          </w:p>
        </w:tc>
        <w:tc>
          <w:tcPr>
            <w:tcW w:w="1152"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E165968"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i/>
                <w:iCs/>
                <w:color w:val="000000"/>
                <w:kern w:val="24"/>
                <w:sz w:val="24"/>
              </w:rPr>
              <w:t xml:space="preserve">2,376 </w:t>
            </w:r>
          </w:p>
        </w:tc>
        <w:tc>
          <w:tcPr>
            <w:tcW w:w="123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A70F792"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i/>
                <w:iCs/>
                <w:color w:val="000000"/>
                <w:kern w:val="24"/>
                <w:sz w:val="24"/>
              </w:rPr>
              <w:t>1,449,392</w:t>
            </w:r>
          </w:p>
        </w:tc>
      </w:tr>
    </w:tbl>
    <w:p w14:paraId="05779127" w14:textId="71BF801E" w:rsidR="002E038F" w:rsidRPr="002E038F" w:rsidRDefault="00527759" w:rsidP="002E038F">
      <w:pPr>
        <w:spacing w:after="0"/>
        <w:contextualSpacing/>
        <w:rPr>
          <w:rFonts w:eastAsiaTheme="minorEastAsia" w:hAnsi="Calibri"/>
          <w:i/>
          <w:iCs/>
          <w:color w:val="000000" w:themeColor="text1"/>
          <w:kern w:val="24"/>
          <w:sz w:val="20"/>
          <w:szCs w:val="20"/>
        </w:rPr>
      </w:pPr>
      <w:r w:rsidRPr="002E038F">
        <w:rPr>
          <w:rFonts w:eastAsiaTheme="minorEastAsia" w:hAnsi="Calibri" w:cstheme="minorBidi"/>
          <w:i/>
          <w:iCs/>
          <w:color w:val="000000" w:themeColor="text1"/>
          <w:kern w:val="24"/>
          <w:sz w:val="20"/>
          <w:szCs w:val="20"/>
        </w:rPr>
        <w:t>Source: Taft College Office of Institutional Research and Planning for Taft numbers, CCCCO DataMart for statewide number</w:t>
      </w:r>
      <w:r w:rsidR="002E038F">
        <w:rPr>
          <w:rFonts w:eastAsiaTheme="minorEastAsia" w:hAnsi="Calibri" w:cstheme="minorBidi"/>
          <w:i/>
          <w:iCs/>
          <w:color w:val="000000" w:themeColor="text1"/>
          <w:kern w:val="24"/>
          <w:sz w:val="20"/>
          <w:szCs w:val="20"/>
        </w:rPr>
        <w:t>s</w:t>
      </w:r>
      <w:r w:rsidR="002E038F" w:rsidRPr="002E038F">
        <w:rPr>
          <w:rFonts w:eastAsiaTheme="minorEastAsia" w:hAnsi="Calibri" w:cstheme="minorBidi"/>
          <w:i/>
          <w:iCs/>
          <w:color w:val="000000" w:themeColor="text1"/>
          <w:kern w:val="24"/>
          <w:sz w:val="20"/>
          <w:szCs w:val="20"/>
        </w:rPr>
        <w:t>.</w:t>
      </w:r>
      <w:r w:rsidR="002E038F">
        <w:rPr>
          <w:rFonts w:eastAsiaTheme="minorEastAsia" w:hAnsi="Calibri" w:cstheme="minorBidi"/>
          <w:i/>
          <w:iCs/>
          <w:color w:val="000000" w:themeColor="text1"/>
          <w:kern w:val="24"/>
          <w:sz w:val="20"/>
          <w:szCs w:val="20"/>
        </w:rPr>
        <w:br/>
      </w:r>
      <w:r w:rsidR="002E038F" w:rsidRPr="002E038F">
        <w:rPr>
          <w:rFonts w:eastAsiaTheme="minorEastAsia" w:hAnsi="Calibri"/>
          <w:i/>
          <w:iCs/>
          <w:color w:val="000000" w:themeColor="text1"/>
          <w:kern w:val="24"/>
          <w:sz w:val="20"/>
          <w:szCs w:val="20"/>
        </w:rPr>
        <w:t>Note: Comparable data for WESTEC is currently not available.</w:t>
      </w:r>
    </w:p>
    <w:p w14:paraId="3235763D" w14:textId="57083AAA" w:rsidR="00527759" w:rsidRPr="002E038F"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0"/>
          <w:szCs w:val="20"/>
        </w:rPr>
      </w:pPr>
    </w:p>
    <w:p w14:paraId="4805BE7A" w14:textId="77777777" w:rsidR="00527759"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2"/>
          <w:szCs w:val="22"/>
        </w:rPr>
      </w:pPr>
    </w:p>
    <w:p w14:paraId="1F6930A1" w14:textId="77777777" w:rsidR="00527759" w:rsidRPr="00B471F7" w:rsidRDefault="00527759" w:rsidP="00527759">
      <w:pPr>
        <w:pStyle w:val="NormalWeb"/>
        <w:spacing w:before="0" w:beforeAutospacing="0" w:after="0" w:afterAutospacing="0"/>
        <w:rPr>
          <w:rFonts w:asciiTheme="minorHAnsi" w:eastAsiaTheme="minorEastAsia" w:hAnsiTheme="minorHAnsi" w:cstheme="minorHAnsi"/>
          <w:color w:val="000000" w:themeColor="text1"/>
          <w:kern w:val="24"/>
          <w:sz w:val="22"/>
          <w:szCs w:val="22"/>
        </w:rPr>
      </w:pPr>
      <w:r w:rsidRPr="00B471F7">
        <w:rPr>
          <w:rFonts w:asciiTheme="minorHAnsi" w:eastAsiaTheme="minorEastAsia" w:hAnsiTheme="minorHAnsi" w:cstheme="minorHAnsi"/>
          <w:color w:val="000000" w:themeColor="text1"/>
          <w:kern w:val="24"/>
          <w:sz w:val="22"/>
          <w:szCs w:val="22"/>
        </w:rPr>
        <w:t>There is twice the proportion of First-Time Transfer Students at Taft College than statewide at all CCCs.</w:t>
      </w:r>
    </w:p>
    <w:p w14:paraId="217B4FF4" w14:textId="77777777" w:rsidR="00527759" w:rsidRPr="009446D8"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2"/>
          <w:szCs w:val="22"/>
        </w:rPr>
      </w:pPr>
    </w:p>
    <w:p w14:paraId="12B717B7" w14:textId="77777777" w:rsidR="00527759" w:rsidRDefault="00527759" w:rsidP="00527759">
      <w:pPr>
        <w:spacing w:after="0"/>
        <w:contextualSpacing/>
        <w:rPr>
          <w:rFonts w:eastAsiaTheme="minorEastAsia" w:hAnsi="Calibri"/>
          <w:color w:val="000000" w:themeColor="text1"/>
          <w:kern w:val="24"/>
        </w:rPr>
      </w:pPr>
      <w:r w:rsidRPr="009446D8">
        <w:rPr>
          <w:rFonts w:eastAsiaTheme="minorEastAsia" w:hAnsi="Calibri"/>
          <w:color w:val="000000" w:themeColor="text1"/>
          <w:kern w:val="24"/>
        </w:rPr>
        <w:t>Proportionally, there are fewer continuing students at Taft than statewide</w:t>
      </w:r>
      <w:r>
        <w:rPr>
          <w:rFonts w:eastAsiaTheme="minorEastAsia" w:hAnsi="Calibri"/>
          <w:color w:val="000000" w:themeColor="text1"/>
          <w:kern w:val="24"/>
        </w:rPr>
        <w:t>.</w:t>
      </w:r>
    </w:p>
    <w:p w14:paraId="15157351" w14:textId="77777777" w:rsidR="00527759" w:rsidRPr="009446D8" w:rsidRDefault="00527759" w:rsidP="00527759">
      <w:pPr>
        <w:spacing w:after="0"/>
        <w:contextualSpacing/>
        <w:rPr>
          <w:rFonts w:ascii="Times New Roman" w:hAnsi="Times New Roman"/>
        </w:rPr>
      </w:pPr>
    </w:p>
    <w:p w14:paraId="0B2F15C8" w14:textId="77777777" w:rsidR="00527759" w:rsidRDefault="00527759" w:rsidP="00527759">
      <w:pPr>
        <w:rPr>
          <w:rFonts w:ascii="Calibri" w:eastAsia="DengXian Light" w:hAnsi="Calibri" w:cs="Calibri"/>
          <w:b/>
          <w:bCs/>
          <w:color w:val="FF9900"/>
          <w:sz w:val="28"/>
          <w:szCs w:val="28"/>
        </w:rPr>
      </w:pPr>
      <w:r>
        <w:br w:type="page"/>
      </w:r>
    </w:p>
    <w:p w14:paraId="286353F4" w14:textId="2346222B" w:rsidR="00527759" w:rsidRDefault="00527759" w:rsidP="007328B8">
      <w:bookmarkStart w:id="240" w:name="_Toc194324267"/>
      <w:r>
        <w:lastRenderedPageBreak/>
        <w:t xml:space="preserve">Declared Majors (excludes </w:t>
      </w:r>
      <w:r w:rsidR="00CE7648">
        <w:t>WESTEC</w:t>
      </w:r>
      <w:r>
        <w:t>)</w:t>
      </w:r>
      <w:bookmarkEnd w:id="240"/>
    </w:p>
    <w:p w14:paraId="388B9991" w14:textId="77777777" w:rsidR="001509DE" w:rsidRPr="001509DE" w:rsidRDefault="001509DE" w:rsidP="00752A2E"/>
    <w:tbl>
      <w:tblPr>
        <w:tblW w:w="10120" w:type="dxa"/>
        <w:tblCellMar>
          <w:left w:w="0" w:type="dxa"/>
          <w:right w:w="0" w:type="dxa"/>
        </w:tblCellMar>
        <w:tblLook w:val="0600" w:firstRow="0" w:lastRow="0" w:firstColumn="0" w:lastColumn="0" w:noHBand="1" w:noVBand="1"/>
      </w:tblPr>
      <w:tblGrid>
        <w:gridCol w:w="3920"/>
        <w:gridCol w:w="1240"/>
        <w:gridCol w:w="1240"/>
        <w:gridCol w:w="1240"/>
        <w:gridCol w:w="1240"/>
        <w:gridCol w:w="1240"/>
      </w:tblGrid>
      <w:tr w:rsidR="00527759" w:rsidRPr="004A407D" w14:paraId="00757734" w14:textId="77777777" w:rsidTr="00B13ECD">
        <w:trPr>
          <w:trHeight w:val="600"/>
        </w:trPr>
        <w:tc>
          <w:tcPr>
            <w:tcW w:w="3920" w:type="dxa"/>
            <w:tcBorders>
              <w:top w:val="single" w:sz="8" w:space="0" w:color="FFFFFF"/>
              <w:left w:val="single" w:sz="8" w:space="0" w:color="FFFFFF"/>
              <w:bottom w:val="single" w:sz="8" w:space="0" w:color="FFFFFF"/>
              <w:right w:val="single" w:sz="8" w:space="0" w:color="FFFFFF"/>
            </w:tcBorders>
            <w:shd w:val="clear" w:color="auto" w:fill="E09878"/>
            <w:tcMar>
              <w:top w:w="10" w:type="dxa"/>
              <w:left w:w="10" w:type="dxa"/>
              <w:bottom w:w="0" w:type="dxa"/>
              <w:right w:w="10" w:type="dxa"/>
            </w:tcMar>
            <w:vAlign w:val="center"/>
            <w:hideMark/>
          </w:tcPr>
          <w:p w14:paraId="05987742" w14:textId="77777777" w:rsidR="00527759" w:rsidRPr="004A407D" w:rsidRDefault="00527759" w:rsidP="00752A2E">
            <w:pPr>
              <w:rPr>
                <w:rFonts w:ascii="Arial" w:hAnsi="Arial" w:cs="Arial"/>
              </w:rPr>
            </w:pPr>
            <w:r w:rsidRPr="004A407D">
              <w:t xml:space="preserve">Top Declared Majors </w:t>
            </w:r>
          </w:p>
        </w:tc>
        <w:tc>
          <w:tcPr>
            <w:tcW w:w="1240" w:type="dxa"/>
            <w:tcBorders>
              <w:top w:val="single" w:sz="8" w:space="0" w:color="FFFFFF"/>
              <w:left w:val="single" w:sz="8" w:space="0" w:color="FFFFFF"/>
              <w:bottom w:val="single" w:sz="8" w:space="0" w:color="FFFFFF"/>
              <w:right w:val="single" w:sz="8" w:space="0" w:color="FFFFFF"/>
            </w:tcBorders>
            <w:shd w:val="clear" w:color="auto" w:fill="E09878"/>
            <w:tcMar>
              <w:top w:w="10" w:type="dxa"/>
              <w:left w:w="10" w:type="dxa"/>
              <w:bottom w:w="0" w:type="dxa"/>
              <w:right w:w="10" w:type="dxa"/>
            </w:tcMar>
            <w:vAlign w:val="center"/>
            <w:hideMark/>
          </w:tcPr>
          <w:p w14:paraId="4523DA9F" w14:textId="77777777" w:rsidR="00527759" w:rsidRPr="004A407D" w:rsidRDefault="00527759" w:rsidP="00752A2E">
            <w:pPr>
              <w:rPr>
                <w:rFonts w:ascii="Arial" w:hAnsi="Arial" w:cs="Arial"/>
              </w:rPr>
            </w:pPr>
            <w:r w:rsidRPr="004A407D">
              <w:t>2019/20</w:t>
            </w:r>
          </w:p>
        </w:tc>
        <w:tc>
          <w:tcPr>
            <w:tcW w:w="1240" w:type="dxa"/>
            <w:tcBorders>
              <w:top w:val="single" w:sz="8" w:space="0" w:color="FFFFFF"/>
              <w:left w:val="single" w:sz="8" w:space="0" w:color="FFFFFF"/>
              <w:bottom w:val="single" w:sz="8" w:space="0" w:color="FFFFFF"/>
              <w:right w:val="single" w:sz="8" w:space="0" w:color="FFFFFF"/>
            </w:tcBorders>
            <w:shd w:val="clear" w:color="auto" w:fill="E09878"/>
            <w:tcMar>
              <w:top w:w="10" w:type="dxa"/>
              <w:left w:w="10" w:type="dxa"/>
              <w:bottom w:w="0" w:type="dxa"/>
              <w:right w:w="10" w:type="dxa"/>
            </w:tcMar>
            <w:vAlign w:val="center"/>
            <w:hideMark/>
          </w:tcPr>
          <w:p w14:paraId="0B86CFB8" w14:textId="77777777" w:rsidR="00527759" w:rsidRPr="004A407D" w:rsidRDefault="00527759" w:rsidP="00752A2E">
            <w:pPr>
              <w:rPr>
                <w:rFonts w:ascii="Arial" w:hAnsi="Arial" w:cs="Arial"/>
              </w:rPr>
            </w:pPr>
            <w:r w:rsidRPr="004A407D">
              <w:t>2020/21</w:t>
            </w:r>
          </w:p>
        </w:tc>
        <w:tc>
          <w:tcPr>
            <w:tcW w:w="1240" w:type="dxa"/>
            <w:tcBorders>
              <w:top w:val="single" w:sz="8" w:space="0" w:color="FFFFFF"/>
              <w:left w:val="single" w:sz="8" w:space="0" w:color="FFFFFF"/>
              <w:bottom w:val="single" w:sz="8" w:space="0" w:color="FFFFFF"/>
              <w:right w:val="single" w:sz="8" w:space="0" w:color="FFFFFF"/>
            </w:tcBorders>
            <w:shd w:val="clear" w:color="auto" w:fill="E09878"/>
            <w:tcMar>
              <w:top w:w="10" w:type="dxa"/>
              <w:left w:w="10" w:type="dxa"/>
              <w:bottom w:w="0" w:type="dxa"/>
              <w:right w:w="10" w:type="dxa"/>
            </w:tcMar>
            <w:vAlign w:val="center"/>
            <w:hideMark/>
          </w:tcPr>
          <w:p w14:paraId="4DDB8409" w14:textId="77777777" w:rsidR="00527759" w:rsidRPr="004A407D" w:rsidRDefault="00527759" w:rsidP="00752A2E">
            <w:pPr>
              <w:rPr>
                <w:rFonts w:ascii="Arial" w:hAnsi="Arial" w:cs="Arial"/>
              </w:rPr>
            </w:pPr>
            <w:r w:rsidRPr="004A407D">
              <w:t>2021/22</w:t>
            </w:r>
          </w:p>
        </w:tc>
        <w:tc>
          <w:tcPr>
            <w:tcW w:w="1240" w:type="dxa"/>
            <w:tcBorders>
              <w:top w:val="single" w:sz="8" w:space="0" w:color="FFFFFF"/>
              <w:left w:val="single" w:sz="8" w:space="0" w:color="FFFFFF"/>
              <w:bottom w:val="single" w:sz="8" w:space="0" w:color="FFFFFF"/>
              <w:right w:val="single" w:sz="8" w:space="0" w:color="FFFFFF"/>
            </w:tcBorders>
            <w:shd w:val="clear" w:color="auto" w:fill="E09878"/>
            <w:tcMar>
              <w:top w:w="10" w:type="dxa"/>
              <w:left w:w="10" w:type="dxa"/>
              <w:bottom w:w="0" w:type="dxa"/>
              <w:right w:w="10" w:type="dxa"/>
            </w:tcMar>
            <w:vAlign w:val="center"/>
            <w:hideMark/>
          </w:tcPr>
          <w:p w14:paraId="79651DF7" w14:textId="77777777" w:rsidR="00527759" w:rsidRPr="004A407D" w:rsidRDefault="00527759" w:rsidP="00752A2E">
            <w:pPr>
              <w:rPr>
                <w:rFonts w:ascii="Arial" w:hAnsi="Arial" w:cs="Arial"/>
              </w:rPr>
            </w:pPr>
            <w:r w:rsidRPr="004A407D">
              <w:t>2022/23</w:t>
            </w:r>
          </w:p>
        </w:tc>
        <w:tc>
          <w:tcPr>
            <w:tcW w:w="1240" w:type="dxa"/>
            <w:tcBorders>
              <w:top w:val="single" w:sz="8" w:space="0" w:color="FFFFFF"/>
              <w:left w:val="single" w:sz="8" w:space="0" w:color="FFFFFF"/>
              <w:bottom w:val="single" w:sz="8" w:space="0" w:color="FFFFFF"/>
              <w:right w:val="single" w:sz="8" w:space="0" w:color="FFFFFF"/>
            </w:tcBorders>
            <w:shd w:val="clear" w:color="auto" w:fill="E09878"/>
            <w:tcMar>
              <w:top w:w="10" w:type="dxa"/>
              <w:left w:w="10" w:type="dxa"/>
              <w:bottom w:w="0" w:type="dxa"/>
              <w:right w:w="10" w:type="dxa"/>
            </w:tcMar>
            <w:vAlign w:val="center"/>
            <w:hideMark/>
          </w:tcPr>
          <w:p w14:paraId="373B7E9F" w14:textId="77777777" w:rsidR="00527759" w:rsidRPr="004A407D" w:rsidRDefault="00527759" w:rsidP="00752A2E">
            <w:pPr>
              <w:rPr>
                <w:rFonts w:ascii="Arial" w:hAnsi="Arial" w:cs="Arial"/>
              </w:rPr>
            </w:pPr>
            <w:r w:rsidRPr="004A407D">
              <w:t>2023/24</w:t>
            </w:r>
          </w:p>
        </w:tc>
      </w:tr>
      <w:tr w:rsidR="00527759" w:rsidRPr="004A407D" w14:paraId="225052CE"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56AA669" w14:textId="77777777" w:rsidR="00527759" w:rsidRPr="004A407D" w:rsidRDefault="00527759" w:rsidP="00752A2E">
            <w:pPr>
              <w:rPr>
                <w:rFonts w:ascii="Arial" w:hAnsi="Arial" w:cs="Arial"/>
              </w:rPr>
            </w:pPr>
            <w:r w:rsidRPr="004A407D">
              <w:t>Liberal Arts Allied Health</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77EDD8A" w14:textId="77777777" w:rsidR="00527759" w:rsidRPr="004A407D" w:rsidRDefault="00527759" w:rsidP="00752A2E">
            <w:pPr>
              <w:rPr>
                <w:rFonts w:ascii="Arial" w:hAnsi="Arial" w:cs="Arial"/>
              </w:rPr>
            </w:pPr>
            <w:r w:rsidRPr="004A407D">
              <w:t>543</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905E2CE" w14:textId="77777777" w:rsidR="00527759" w:rsidRPr="004A407D" w:rsidRDefault="00527759" w:rsidP="00752A2E">
            <w:pPr>
              <w:rPr>
                <w:rFonts w:ascii="Arial" w:hAnsi="Arial" w:cs="Arial"/>
              </w:rPr>
            </w:pPr>
            <w:r w:rsidRPr="004A407D">
              <w:t>583</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1DAD35A" w14:textId="77777777" w:rsidR="00527759" w:rsidRPr="004A407D" w:rsidRDefault="00527759" w:rsidP="00752A2E">
            <w:pPr>
              <w:rPr>
                <w:rFonts w:ascii="Arial" w:hAnsi="Arial" w:cs="Arial"/>
              </w:rPr>
            </w:pPr>
            <w:r w:rsidRPr="004A407D">
              <w:t>491</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2EAE75B" w14:textId="77777777" w:rsidR="00527759" w:rsidRPr="004A407D" w:rsidRDefault="00527759" w:rsidP="00752A2E">
            <w:pPr>
              <w:rPr>
                <w:rFonts w:ascii="Arial" w:hAnsi="Arial" w:cs="Arial"/>
              </w:rPr>
            </w:pPr>
            <w:r w:rsidRPr="004A407D">
              <w:t>486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8BA68B8" w14:textId="77777777" w:rsidR="00527759" w:rsidRPr="004A407D" w:rsidRDefault="00527759" w:rsidP="00752A2E">
            <w:pPr>
              <w:rPr>
                <w:rFonts w:ascii="Arial" w:hAnsi="Arial" w:cs="Arial"/>
              </w:rPr>
            </w:pPr>
            <w:r w:rsidRPr="004A407D">
              <w:t>539</w:t>
            </w:r>
          </w:p>
        </w:tc>
      </w:tr>
      <w:tr w:rsidR="00527759" w:rsidRPr="004A407D" w14:paraId="22F8CC01"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E857B54" w14:textId="77777777" w:rsidR="00527759" w:rsidRPr="004A407D" w:rsidRDefault="00527759" w:rsidP="00752A2E">
            <w:pPr>
              <w:rPr>
                <w:rFonts w:ascii="Arial" w:hAnsi="Arial" w:cs="Arial"/>
              </w:rPr>
            </w:pPr>
            <w:r w:rsidRPr="004A407D">
              <w:t>Business Administration 2.0</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61D94531" w14:textId="77777777" w:rsidR="00527759" w:rsidRPr="004A407D" w:rsidRDefault="00527759" w:rsidP="00752A2E">
            <w:pPr>
              <w:rPr>
                <w:rFonts w:ascii="Arial" w:hAnsi="Arial" w:cs="Arial"/>
              </w:rPr>
            </w:pPr>
            <w:r w:rsidRPr="004A407D">
              <w:t>0</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6740566B" w14:textId="77777777" w:rsidR="00527759" w:rsidRPr="004A407D" w:rsidRDefault="00527759" w:rsidP="00752A2E">
            <w:pPr>
              <w:rPr>
                <w:rFonts w:ascii="Arial" w:hAnsi="Arial" w:cs="Arial"/>
              </w:rPr>
            </w:pPr>
            <w:r w:rsidRPr="004A407D">
              <w:t>0</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A403D1C" w14:textId="77777777" w:rsidR="00527759" w:rsidRPr="004A407D" w:rsidRDefault="00527759" w:rsidP="00752A2E">
            <w:pPr>
              <w:rPr>
                <w:rFonts w:ascii="Arial" w:hAnsi="Arial" w:cs="Arial"/>
              </w:rPr>
            </w:pPr>
            <w:r w:rsidRPr="004A407D">
              <w:t>3</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D7526C5" w14:textId="77777777" w:rsidR="00527759" w:rsidRPr="004A407D" w:rsidRDefault="00527759" w:rsidP="00752A2E">
            <w:pPr>
              <w:rPr>
                <w:rFonts w:ascii="Arial" w:hAnsi="Arial" w:cs="Arial"/>
              </w:rPr>
            </w:pPr>
            <w:r w:rsidRPr="004A407D">
              <w:t>131</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25D5E56" w14:textId="77777777" w:rsidR="00527759" w:rsidRPr="004A407D" w:rsidRDefault="00527759" w:rsidP="00752A2E">
            <w:pPr>
              <w:rPr>
                <w:rFonts w:ascii="Arial" w:hAnsi="Arial" w:cs="Arial"/>
              </w:rPr>
            </w:pPr>
            <w:r w:rsidRPr="004A407D">
              <w:t>246</w:t>
            </w:r>
          </w:p>
        </w:tc>
      </w:tr>
      <w:tr w:rsidR="00527759" w:rsidRPr="004A407D" w14:paraId="1F123CD1"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DB71622" w14:textId="77777777" w:rsidR="00527759" w:rsidRPr="004A407D" w:rsidRDefault="00527759" w:rsidP="00752A2E">
            <w:pPr>
              <w:rPr>
                <w:rFonts w:ascii="Arial" w:hAnsi="Arial" w:cs="Arial"/>
              </w:rPr>
            </w:pPr>
            <w:r w:rsidRPr="004A407D">
              <w:t>Psychology for Transfer</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3D8F30A" w14:textId="77777777" w:rsidR="00527759" w:rsidRPr="004A407D" w:rsidRDefault="00527759" w:rsidP="00752A2E">
            <w:pPr>
              <w:rPr>
                <w:rFonts w:ascii="Arial" w:hAnsi="Arial" w:cs="Arial"/>
              </w:rPr>
            </w:pPr>
            <w:r w:rsidRPr="004A407D">
              <w:t>280</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4F0948F" w14:textId="77777777" w:rsidR="00527759" w:rsidRPr="004A407D" w:rsidRDefault="00527759" w:rsidP="00752A2E">
            <w:pPr>
              <w:rPr>
                <w:rFonts w:ascii="Arial" w:hAnsi="Arial" w:cs="Arial"/>
              </w:rPr>
            </w:pPr>
            <w:r w:rsidRPr="004A407D">
              <w:t>281</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C800831" w14:textId="77777777" w:rsidR="00527759" w:rsidRPr="004A407D" w:rsidRDefault="00527759" w:rsidP="00752A2E">
            <w:pPr>
              <w:rPr>
                <w:rFonts w:ascii="Arial" w:hAnsi="Arial" w:cs="Arial"/>
              </w:rPr>
            </w:pPr>
            <w:r w:rsidRPr="004A407D">
              <w:t>239</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6C71C44" w14:textId="77777777" w:rsidR="00527759" w:rsidRPr="004A407D" w:rsidRDefault="00527759" w:rsidP="00752A2E">
            <w:pPr>
              <w:rPr>
                <w:rFonts w:ascii="Arial" w:hAnsi="Arial" w:cs="Arial"/>
              </w:rPr>
            </w:pPr>
            <w:r w:rsidRPr="004A407D">
              <w:t>210</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6F9415B9" w14:textId="77777777" w:rsidR="00527759" w:rsidRPr="004A407D" w:rsidRDefault="00527759" w:rsidP="00752A2E">
            <w:pPr>
              <w:rPr>
                <w:rFonts w:ascii="Arial" w:hAnsi="Arial" w:cs="Arial"/>
              </w:rPr>
            </w:pPr>
            <w:r w:rsidRPr="004A407D">
              <w:t>222</w:t>
            </w:r>
          </w:p>
        </w:tc>
      </w:tr>
      <w:tr w:rsidR="00527759" w:rsidRPr="004A407D" w14:paraId="44A83CC5"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9B3D2E7" w14:textId="77777777" w:rsidR="00527759" w:rsidRPr="004A407D" w:rsidRDefault="00527759" w:rsidP="00752A2E">
            <w:pPr>
              <w:rPr>
                <w:rFonts w:ascii="Arial" w:hAnsi="Arial" w:cs="Arial"/>
              </w:rPr>
            </w:pPr>
            <w:r w:rsidRPr="004A407D">
              <w:t>Engineering</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2AEAB81" w14:textId="77777777" w:rsidR="00527759" w:rsidRPr="004A407D" w:rsidRDefault="00527759" w:rsidP="00752A2E">
            <w:pPr>
              <w:rPr>
                <w:rFonts w:ascii="Arial" w:hAnsi="Arial" w:cs="Arial"/>
              </w:rPr>
            </w:pPr>
            <w:r w:rsidRPr="004A407D">
              <w:t>188</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1F6478F" w14:textId="77777777" w:rsidR="00527759" w:rsidRPr="004A407D" w:rsidRDefault="00527759" w:rsidP="00752A2E">
            <w:pPr>
              <w:rPr>
                <w:rFonts w:ascii="Arial" w:hAnsi="Arial" w:cs="Arial"/>
              </w:rPr>
            </w:pPr>
            <w:r w:rsidRPr="004A407D">
              <w:t>164</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0240EAC" w14:textId="77777777" w:rsidR="00527759" w:rsidRPr="004A407D" w:rsidRDefault="00527759" w:rsidP="00752A2E">
            <w:pPr>
              <w:rPr>
                <w:rFonts w:ascii="Arial" w:hAnsi="Arial" w:cs="Arial"/>
              </w:rPr>
            </w:pPr>
            <w:r w:rsidRPr="004A407D">
              <w:t>156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253882C" w14:textId="77777777" w:rsidR="00527759" w:rsidRPr="004A407D" w:rsidRDefault="00527759" w:rsidP="00752A2E">
            <w:pPr>
              <w:rPr>
                <w:rFonts w:ascii="Arial" w:hAnsi="Arial" w:cs="Arial"/>
              </w:rPr>
            </w:pPr>
            <w:r w:rsidRPr="004A407D">
              <w:t>142</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99BAF7D" w14:textId="77777777" w:rsidR="00527759" w:rsidRPr="004A407D" w:rsidRDefault="00527759" w:rsidP="00752A2E">
            <w:pPr>
              <w:rPr>
                <w:rFonts w:ascii="Arial" w:hAnsi="Arial" w:cs="Arial"/>
              </w:rPr>
            </w:pPr>
            <w:r w:rsidRPr="004A407D">
              <w:t>188</w:t>
            </w:r>
          </w:p>
        </w:tc>
      </w:tr>
      <w:tr w:rsidR="00527759" w:rsidRPr="004A407D" w14:paraId="1582227F"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5301A7A" w14:textId="77777777" w:rsidR="00527759" w:rsidRPr="004A407D" w:rsidRDefault="00527759" w:rsidP="00752A2E">
            <w:pPr>
              <w:rPr>
                <w:rFonts w:ascii="Arial" w:hAnsi="Arial" w:cs="Arial"/>
              </w:rPr>
            </w:pPr>
            <w:r w:rsidRPr="004A407D">
              <w:t>Early Care Educ for Transfer</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17463AF" w14:textId="77777777" w:rsidR="00527759" w:rsidRPr="004A407D" w:rsidRDefault="00527759" w:rsidP="00752A2E">
            <w:pPr>
              <w:rPr>
                <w:rFonts w:ascii="Arial" w:hAnsi="Arial" w:cs="Arial"/>
              </w:rPr>
            </w:pPr>
            <w:r w:rsidRPr="004A407D">
              <w:t>255</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920EE3E" w14:textId="77777777" w:rsidR="00527759" w:rsidRPr="004A407D" w:rsidRDefault="00527759" w:rsidP="00752A2E">
            <w:pPr>
              <w:rPr>
                <w:rFonts w:ascii="Arial" w:hAnsi="Arial" w:cs="Arial"/>
              </w:rPr>
            </w:pPr>
            <w:r w:rsidRPr="004A407D">
              <w:t>231</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F6086CE" w14:textId="77777777" w:rsidR="00527759" w:rsidRPr="004A407D" w:rsidRDefault="00527759" w:rsidP="00752A2E">
            <w:pPr>
              <w:rPr>
                <w:rFonts w:ascii="Arial" w:hAnsi="Arial" w:cs="Arial"/>
              </w:rPr>
            </w:pPr>
            <w:r w:rsidRPr="004A407D">
              <w:t>183</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5207536" w14:textId="77777777" w:rsidR="00527759" w:rsidRPr="004A407D" w:rsidRDefault="00527759" w:rsidP="00752A2E">
            <w:pPr>
              <w:rPr>
                <w:rFonts w:ascii="Arial" w:hAnsi="Arial" w:cs="Arial"/>
              </w:rPr>
            </w:pPr>
            <w:r w:rsidRPr="004A407D">
              <w:t>179</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93D736F" w14:textId="77777777" w:rsidR="00527759" w:rsidRPr="004A407D" w:rsidRDefault="00527759" w:rsidP="00752A2E">
            <w:pPr>
              <w:rPr>
                <w:rFonts w:ascii="Arial" w:hAnsi="Arial" w:cs="Arial"/>
              </w:rPr>
            </w:pPr>
            <w:r w:rsidRPr="004A407D">
              <w:t>186</w:t>
            </w:r>
          </w:p>
        </w:tc>
      </w:tr>
      <w:tr w:rsidR="00527759" w:rsidRPr="004A407D" w14:paraId="07181FD1"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C722C51" w14:textId="77777777" w:rsidR="00527759" w:rsidRPr="004A407D" w:rsidRDefault="00527759" w:rsidP="00752A2E">
            <w:pPr>
              <w:rPr>
                <w:rFonts w:ascii="Arial" w:hAnsi="Arial" w:cs="Arial"/>
              </w:rPr>
            </w:pPr>
            <w:r w:rsidRPr="004A407D">
              <w:t>Biology for Transfer</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31AF286" w14:textId="77777777" w:rsidR="00527759" w:rsidRPr="004A407D" w:rsidRDefault="00527759" w:rsidP="00752A2E">
            <w:pPr>
              <w:rPr>
                <w:rFonts w:ascii="Arial" w:hAnsi="Arial" w:cs="Arial"/>
              </w:rPr>
            </w:pPr>
            <w:r w:rsidRPr="004A407D">
              <w:t>224</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BD6C304" w14:textId="77777777" w:rsidR="00527759" w:rsidRPr="004A407D" w:rsidRDefault="00527759" w:rsidP="00752A2E">
            <w:pPr>
              <w:rPr>
                <w:rFonts w:ascii="Arial" w:hAnsi="Arial" w:cs="Arial"/>
              </w:rPr>
            </w:pPr>
            <w:r w:rsidRPr="004A407D">
              <w:t>176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9043D1C" w14:textId="77777777" w:rsidR="00527759" w:rsidRPr="004A407D" w:rsidRDefault="00527759" w:rsidP="00752A2E">
            <w:pPr>
              <w:rPr>
                <w:rFonts w:ascii="Arial" w:hAnsi="Arial" w:cs="Arial"/>
              </w:rPr>
            </w:pPr>
            <w:r w:rsidRPr="004A407D">
              <w:t>142</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2A91EAE" w14:textId="77777777" w:rsidR="00527759" w:rsidRPr="004A407D" w:rsidRDefault="00527759" w:rsidP="00752A2E">
            <w:pPr>
              <w:rPr>
                <w:rFonts w:ascii="Arial" w:hAnsi="Arial" w:cs="Arial"/>
              </w:rPr>
            </w:pPr>
            <w:r w:rsidRPr="004A407D">
              <w:t>124</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D0AEC4D" w14:textId="77777777" w:rsidR="00527759" w:rsidRPr="004A407D" w:rsidRDefault="00527759" w:rsidP="00752A2E">
            <w:pPr>
              <w:rPr>
                <w:rFonts w:ascii="Arial" w:hAnsi="Arial" w:cs="Arial"/>
              </w:rPr>
            </w:pPr>
            <w:r w:rsidRPr="004A407D">
              <w:t>159</w:t>
            </w:r>
          </w:p>
        </w:tc>
      </w:tr>
      <w:tr w:rsidR="00527759" w:rsidRPr="004A407D" w14:paraId="18BC1079"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389403C" w14:textId="77777777" w:rsidR="00527759" w:rsidRPr="004A407D" w:rsidRDefault="00527759" w:rsidP="00752A2E">
            <w:pPr>
              <w:rPr>
                <w:rFonts w:ascii="Arial" w:hAnsi="Arial" w:cs="Arial"/>
              </w:rPr>
            </w:pPr>
            <w:r w:rsidRPr="004A407D">
              <w:t>Elementary Teacher Ed</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3721731" w14:textId="77777777" w:rsidR="00527759" w:rsidRPr="004A407D" w:rsidRDefault="00527759" w:rsidP="00752A2E">
            <w:pPr>
              <w:rPr>
                <w:rFonts w:ascii="Arial" w:hAnsi="Arial" w:cs="Arial"/>
              </w:rPr>
            </w:pPr>
            <w:r w:rsidRPr="004A407D">
              <w:t>0</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AF05AAA" w14:textId="77777777" w:rsidR="00527759" w:rsidRPr="004A407D" w:rsidRDefault="00527759" w:rsidP="00752A2E">
            <w:pPr>
              <w:rPr>
                <w:rFonts w:ascii="Arial" w:hAnsi="Arial" w:cs="Arial"/>
              </w:rPr>
            </w:pPr>
            <w:r w:rsidRPr="004A407D">
              <w:t>3</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1D2F784" w14:textId="77777777" w:rsidR="00527759" w:rsidRPr="004A407D" w:rsidRDefault="00527759" w:rsidP="00752A2E">
            <w:pPr>
              <w:rPr>
                <w:rFonts w:ascii="Arial" w:hAnsi="Arial" w:cs="Arial"/>
              </w:rPr>
            </w:pPr>
            <w:r w:rsidRPr="004A407D">
              <w:t>70</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56E2892" w14:textId="77777777" w:rsidR="00527759" w:rsidRPr="004A407D" w:rsidRDefault="00527759" w:rsidP="00752A2E">
            <w:pPr>
              <w:rPr>
                <w:rFonts w:ascii="Arial" w:hAnsi="Arial" w:cs="Arial"/>
              </w:rPr>
            </w:pPr>
            <w:r w:rsidRPr="004A407D">
              <w:t>116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E172390" w14:textId="77777777" w:rsidR="00527759" w:rsidRPr="004A407D" w:rsidRDefault="00527759" w:rsidP="00752A2E">
            <w:pPr>
              <w:rPr>
                <w:rFonts w:ascii="Arial" w:hAnsi="Arial" w:cs="Arial"/>
              </w:rPr>
            </w:pPr>
            <w:r w:rsidRPr="004A407D">
              <w:t>150</w:t>
            </w:r>
          </w:p>
        </w:tc>
      </w:tr>
      <w:tr w:rsidR="00527759" w:rsidRPr="004A407D" w14:paraId="4AF40214"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1D0BE8A" w14:textId="77777777" w:rsidR="00527759" w:rsidRPr="004A407D" w:rsidRDefault="00527759" w:rsidP="00752A2E">
            <w:pPr>
              <w:rPr>
                <w:rFonts w:ascii="Arial" w:hAnsi="Arial" w:cs="Arial"/>
              </w:rPr>
            </w:pPr>
            <w:r w:rsidRPr="004A407D">
              <w:t>Life Science</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02A59AC" w14:textId="77777777" w:rsidR="00527759" w:rsidRPr="004A407D" w:rsidRDefault="00527759" w:rsidP="00752A2E">
            <w:pPr>
              <w:rPr>
                <w:rFonts w:ascii="Arial" w:hAnsi="Arial" w:cs="Arial"/>
              </w:rPr>
            </w:pPr>
            <w:r w:rsidRPr="004A407D">
              <w:t>235</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3BEF567" w14:textId="77777777" w:rsidR="00527759" w:rsidRPr="004A407D" w:rsidRDefault="00527759" w:rsidP="00752A2E">
            <w:pPr>
              <w:rPr>
                <w:rFonts w:ascii="Arial" w:hAnsi="Arial" w:cs="Arial"/>
              </w:rPr>
            </w:pPr>
            <w:r w:rsidRPr="004A407D">
              <w:t>178</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FD939B3" w14:textId="77777777" w:rsidR="00527759" w:rsidRPr="004A407D" w:rsidRDefault="00527759" w:rsidP="00752A2E">
            <w:pPr>
              <w:rPr>
                <w:rFonts w:ascii="Arial" w:hAnsi="Arial" w:cs="Arial"/>
              </w:rPr>
            </w:pPr>
            <w:r w:rsidRPr="004A407D">
              <w:t>120</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B87543C" w14:textId="77777777" w:rsidR="00527759" w:rsidRPr="004A407D" w:rsidRDefault="00527759" w:rsidP="00752A2E">
            <w:pPr>
              <w:rPr>
                <w:rFonts w:ascii="Arial" w:hAnsi="Arial" w:cs="Arial"/>
              </w:rPr>
            </w:pPr>
            <w:r w:rsidRPr="004A407D">
              <w:t>100</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61B72ADB" w14:textId="77777777" w:rsidR="00527759" w:rsidRPr="004A407D" w:rsidRDefault="00527759" w:rsidP="00752A2E">
            <w:pPr>
              <w:rPr>
                <w:rFonts w:ascii="Arial" w:hAnsi="Arial" w:cs="Arial"/>
              </w:rPr>
            </w:pPr>
            <w:r w:rsidRPr="004A407D">
              <w:t>126</w:t>
            </w:r>
          </w:p>
        </w:tc>
      </w:tr>
      <w:tr w:rsidR="00527759" w:rsidRPr="004A407D" w14:paraId="3C1B8F8D"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E009009" w14:textId="77777777" w:rsidR="00527759" w:rsidRPr="004A407D" w:rsidRDefault="00527759" w:rsidP="00752A2E">
            <w:pPr>
              <w:rPr>
                <w:rFonts w:ascii="Arial" w:hAnsi="Arial" w:cs="Arial"/>
              </w:rPr>
            </w:pPr>
            <w:r w:rsidRPr="004A407D">
              <w:t>Kinesiology for Transfer</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6A269C8" w14:textId="77777777" w:rsidR="00527759" w:rsidRPr="004A407D" w:rsidRDefault="00527759" w:rsidP="00752A2E">
            <w:pPr>
              <w:rPr>
                <w:rFonts w:ascii="Arial" w:hAnsi="Arial" w:cs="Arial"/>
              </w:rPr>
            </w:pPr>
            <w:r w:rsidRPr="004A407D">
              <w:t>102</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FC1068E" w14:textId="77777777" w:rsidR="00527759" w:rsidRPr="004A407D" w:rsidRDefault="00527759" w:rsidP="00752A2E">
            <w:pPr>
              <w:rPr>
                <w:rFonts w:ascii="Arial" w:hAnsi="Arial" w:cs="Arial"/>
              </w:rPr>
            </w:pPr>
            <w:r w:rsidRPr="004A407D">
              <w:t>97</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B255AD1" w14:textId="77777777" w:rsidR="00527759" w:rsidRPr="004A407D" w:rsidRDefault="00527759" w:rsidP="00752A2E">
            <w:pPr>
              <w:rPr>
                <w:rFonts w:ascii="Arial" w:hAnsi="Arial" w:cs="Arial"/>
              </w:rPr>
            </w:pPr>
            <w:r w:rsidRPr="004A407D">
              <w:t>66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319C69D" w14:textId="77777777" w:rsidR="00527759" w:rsidRPr="004A407D" w:rsidRDefault="00527759" w:rsidP="00752A2E">
            <w:pPr>
              <w:rPr>
                <w:rFonts w:ascii="Arial" w:hAnsi="Arial" w:cs="Arial"/>
              </w:rPr>
            </w:pPr>
            <w:r w:rsidRPr="004A407D">
              <w:t>75</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EE541D5" w14:textId="77777777" w:rsidR="00527759" w:rsidRPr="004A407D" w:rsidRDefault="00527759" w:rsidP="00752A2E">
            <w:pPr>
              <w:rPr>
                <w:rFonts w:ascii="Arial" w:hAnsi="Arial" w:cs="Arial"/>
              </w:rPr>
            </w:pPr>
            <w:r w:rsidRPr="004A407D">
              <w:t>109</w:t>
            </w:r>
          </w:p>
        </w:tc>
      </w:tr>
      <w:tr w:rsidR="00527759" w:rsidRPr="004A407D" w14:paraId="338A2E7A"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85EE1C7" w14:textId="77777777" w:rsidR="00527759" w:rsidRPr="004A407D" w:rsidRDefault="00527759" w:rsidP="00752A2E">
            <w:pPr>
              <w:rPr>
                <w:rFonts w:ascii="Arial" w:hAnsi="Arial" w:cs="Arial"/>
              </w:rPr>
            </w:pPr>
            <w:r w:rsidRPr="004A407D">
              <w:t>Business Administration</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B0842B2" w14:textId="77777777" w:rsidR="00527759" w:rsidRPr="004A407D" w:rsidRDefault="00527759" w:rsidP="00752A2E">
            <w:pPr>
              <w:rPr>
                <w:rFonts w:ascii="Arial" w:hAnsi="Arial" w:cs="Arial"/>
              </w:rPr>
            </w:pPr>
            <w:r w:rsidRPr="004A407D">
              <w:t>116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6F3715E" w14:textId="77777777" w:rsidR="00527759" w:rsidRPr="004A407D" w:rsidRDefault="00527759" w:rsidP="00752A2E">
            <w:pPr>
              <w:rPr>
                <w:rFonts w:ascii="Arial" w:hAnsi="Arial" w:cs="Arial"/>
              </w:rPr>
            </w:pPr>
            <w:r w:rsidRPr="004A407D">
              <w:t>95</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45100AA" w14:textId="77777777" w:rsidR="00527759" w:rsidRPr="004A407D" w:rsidRDefault="00527759" w:rsidP="00752A2E">
            <w:pPr>
              <w:rPr>
                <w:rFonts w:ascii="Arial" w:hAnsi="Arial" w:cs="Arial"/>
              </w:rPr>
            </w:pPr>
            <w:r w:rsidRPr="004A407D">
              <w:t>63</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293213F" w14:textId="77777777" w:rsidR="00527759" w:rsidRPr="004A407D" w:rsidRDefault="00527759" w:rsidP="00752A2E">
            <w:pPr>
              <w:rPr>
                <w:rFonts w:ascii="Arial" w:hAnsi="Arial" w:cs="Arial"/>
              </w:rPr>
            </w:pPr>
            <w:r w:rsidRPr="004A407D">
              <w:t>71</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16F3D29" w14:textId="77777777" w:rsidR="00527759" w:rsidRPr="004A407D" w:rsidRDefault="00527759" w:rsidP="00752A2E">
            <w:pPr>
              <w:rPr>
                <w:rFonts w:ascii="Arial" w:hAnsi="Arial" w:cs="Arial"/>
              </w:rPr>
            </w:pPr>
            <w:r w:rsidRPr="004A407D">
              <w:t>105</w:t>
            </w:r>
          </w:p>
        </w:tc>
      </w:tr>
      <w:tr w:rsidR="00527759" w:rsidRPr="004A407D" w14:paraId="0251A8CD"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725DD54" w14:textId="77777777" w:rsidR="00527759" w:rsidRPr="004A407D" w:rsidRDefault="00527759" w:rsidP="00752A2E">
            <w:pPr>
              <w:rPr>
                <w:rFonts w:ascii="Arial" w:hAnsi="Arial" w:cs="Arial"/>
              </w:rPr>
            </w:pPr>
            <w:r w:rsidRPr="004A407D">
              <w:t>Admin of Justice for Transfer</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62A8C5A4" w14:textId="77777777" w:rsidR="00527759" w:rsidRPr="004A407D" w:rsidRDefault="00527759" w:rsidP="00752A2E">
            <w:pPr>
              <w:rPr>
                <w:rFonts w:ascii="Arial" w:hAnsi="Arial" w:cs="Arial"/>
              </w:rPr>
            </w:pPr>
            <w:r w:rsidRPr="004A407D">
              <w:t>177</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FB31484" w14:textId="77777777" w:rsidR="00527759" w:rsidRPr="004A407D" w:rsidRDefault="00527759" w:rsidP="00752A2E">
            <w:pPr>
              <w:rPr>
                <w:rFonts w:ascii="Arial" w:hAnsi="Arial" w:cs="Arial"/>
              </w:rPr>
            </w:pPr>
            <w:r w:rsidRPr="004A407D">
              <w:t>131</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4271A65" w14:textId="77777777" w:rsidR="00527759" w:rsidRPr="004A407D" w:rsidRDefault="00527759" w:rsidP="00752A2E">
            <w:pPr>
              <w:rPr>
                <w:rFonts w:ascii="Arial" w:hAnsi="Arial" w:cs="Arial"/>
              </w:rPr>
            </w:pPr>
            <w:r w:rsidRPr="004A407D">
              <w:t>98</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B2C53B5" w14:textId="77777777" w:rsidR="00527759" w:rsidRPr="004A407D" w:rsidRDefault="00527759" w:rsidP="00752A2E">
            <w:pPr>
              <w:rPr>
                <w:rFonts w:ascii="Arial" w:hAnsi="Arial" w:cs="Arial"/>
              </w:rPr>
            </w:pPr>
            <w:r w:rsidRPr="004A407D">
              <w:t>76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E941761" w14:textId="77777777" w:rsidR="00527759" w:rsidRPr="004A407D" w:rsidRDefault="00527759" w:rsidP="00752A2E">
            <w:pPr>
              <w:rPr>
                <w:rFonts w:ascii="Arial" w:hAnsi="Arial" w:cs="Arial"/>
              </w:rPr>
            </w:pPr>
            <w:r w:rsidRPr="004A407D">
              <w:t>89</w:t>
            </w:r>
          </w:p>
        </w:tc>
      </w:tr>
      <w:tr w:rsidR="00527759" w:rsidRPr="004A407D" w14:paraId="2FCB612B"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1C57BAB" w14:textId="77777777" w:rsidR="00527759" w:rsidRPr="004A407D" w:rsidRDefault="00527759" w:rsidP="00752A2E">
            <w:pPr>
              <w:rPr>
                <w:rFonts w:ascii="Arial" w:hAnsi="Arial" w:cs="Arial"/>
              </w:rPr>
            </w:pPr>
            <w:r w:rsidRPr="004A407D">
              <w:t>General Business</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602615A1" w14:textId="77777777" w:rsidR="00527759" w:rsidRPr="004A407D" w:rsidRDefault="00527759" w:rsidP="00752A2E">
            <w:pPr>
              <w:rPr>
                <w:rFonts w:ascii="Arial" w:hAnsi="Arial" w:cs="Arial"/>
              </w:rPr>
            </w:pPr>
            <w:r w:rsidRPr="004A407D">
              <w:t>236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018AF69" w14:textId="77777777" w:rsidR="00527759" w:rsidRPr="004A407D" w:rsidRDefault="00527759" w:rsidP="00752A2E">
            <w:pPr>
              <w:rPr>
                <w:rFonts w:ascii="Arial" w:hAnsi="Arial" w:cs="Arial"/>
              </w:rPr>
            </w:pPr>
            <w:r w:rsidRPr="004A407D">
              <w:t>139</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E0E1487" w14:textId="77777777" w:rsidR="00527759" w:rsidRPr="004A407D" w:rsidRDefault="00527759" w:rsidP="00752A2E">
            <w:pPr>
              <w:rPr>
                <w:rFonts w:ascii="Arial" w:hAnsi="Arial" w:cs="Arial"/>
              </w:rPr>
            </w:pPr>
            <w:r w:rsidRPr="004A407D">
              <w:t>56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D366086" w14:textId="77777777" w:rsidR="00527759" w:rsidRPr="004A407D" w:rsidRDefault="00527759" w:rsidP="00752A2E">
            <w:pPr>
              <w:rPr>
                <w:rFonts w:ascii="Arial" w:hAnsi="Arial" w:cs="Arial"/>
              </w:rPr>
            </w:pPr>
            <w:r w:rsidRPr="004A407D">
              <w:t>74</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6A21DA94" w14:textId="77777777" w:rsidR="00527759" w:rsidRPr="004A407D" w:rsidRDefault="00527759" w:rsidP="00752A2E">
            <w:pPr>
              <w:rPr>
                <w:rFonts w:ascii="Arial" w:hAnsi="Arial" w:cs="Arial"/>
              </w:rPr>
            </w:pPr>
            <w:r w:rsidRPr="004A407D">
              <w:t>88</w:t>
            </w:r>
          </w:p>
        </w:tc>
      </w:tr>
      <w:tr w:rsidR="00527759" w:rsidRPr="004A407D" w14:paraId="6D376384"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85B7CB3" w14:textId="77777777" w:rsidR="00527759" w:rsidRPr="004A407D" w:rsidRDefault="00527759" w:rsidP="00752A2E">
            <w:pPr>
              <w:rPr>
                <w:rFonts w:ascii="Arial" w:hAnsi="Arial" w:cs="Arial"/>
              </w:rPr>
            </w:pPr>
            <w:r w:rsidRPr="004A407D">
              <w:t>Early Care Ed &amp; Family Studies</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8CB9CD8" w14:textId="77777777" w:rsidR="00527759" w:rsidRPr="004A407D" w:rsidRDefault="00527759" w:rsidP="00752A2E">
            <w:pPr>
              <w:rPr>
                <w:rFonts w:ascii="Arial" w:hAnsi="Arial" w:cs="Arial"/>
              </w:rPr>
            </w:pPr>
            <w:r w:rsidRPr="004A407D">
              <w:t>158</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64CDEB1" w14:textId="77777777" w:rsidR="00527759" w:rsidRPr="004A407D" w:rsidRDefault="00527759" w:rsidP="00752A2E">
            <w:pPr>
              <w:rPr>
                <w:rFonts w:ascii="Arial" w:hAnsi="Arial" w:cs="Arial"/>
              </w:rPr>
            </w:pPr>
            <w:r w:rsidRPr="004A407D">
              <w:t>146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E07E613" w14:textId="77777777" w:rsidR="00527759" w:rsidRPr="004A407D" w:rsidRDefault="00527759" w:rsidP="00752A2E">
            <w:pPr>
              <w:rPr>
                <w:rFonts w:ascii="Arial" w:hAnsi="Arial" w:cs="Arial"/>
              </w:rPr>
            </w:pPr>
            <w:r w:rsidRPr="004A407D">
              <w:t>100</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0121C1A" w14:textId="77777777" w:rsidR="00527759" w:rsidRPr="004A407D" w:rsidRDefault="00527759" w:rsidP="00752A2E">
            <w:pPr>
              <w:rPr>
                <w:rFonts w:ascii="Arial" w:hAnsi="Arial" w:cs="Arial"/>
              </w:rPr>
            </w:pPr>
            <w:r w:rsidRPr="004A407D">
              <w:t>66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1CCE9F0" w14:textId="77777777" w:rsidR="00527759" w:rsidRPr="004A407D" w:rsidRDefault="00527759" w:rsidP="00752A2E">
            <w:pPr>
              <w:rPr>
                <w:rFonts w:ascii="Arial" w:hAnsi="Arial" w:cs="Arial"/>
              </w:rPr>
            </w:pPr>
            <w:r w:rsidRPr="004A407D">
              <w:t>79</w:t>
            </w:r>
          </w:p>
        </w:tc>
      </w:tr>
      <w:tr w:rsidR="00527759" w:rsidRPr="004A407D" w14:paraId="644B5EE7"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0F1BC2A" w14:textId="77777777" w:rsidR="00527759" w:rsidRPr="004A407D" w:rsidRDefault="00527759" w:rsidP="00752A2E">
            <w:pPr>
              <w:rPr>
                <w:rFonts w:ascii="Arial" w:hAnsi="Arial" w:cs="Arial"/>
              </w:rPr>
            </w:pPr>
            <w:r w:rsidRPr="004A407D">
              <w:t>Liberal Arts Communication</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4CC3873" w14:textId="77777777" w:rsidR="00527759" w:rsidRPr="004A407D" w:rsidRDefault="00527759" w:rsidP="00752A2E">
            <w:pPr>
              <w:rPr>
                <w:rFonts w:ascii="Arial" w:hAnsi="Arial" w:cs="Arial"/>
              </w:rPr>
            </w:pPr>
            <w:r w:rsidRPr="004A407D">
              <w:t>139</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99E7F87" w14:textId="77777777" w:rsidR="00527759" w:rsidRPr="004A407D" w:rsidRDefault="00527759" w:rsidP="00752A2E">
            <w:pPr>
              <w:rPr>
                <w:rFonts w:ascii="Arial" w:hAnsi="Arial" w:cs="Arial"/>
              </w:rPr>
            </w:pPr>
            <w:r w:rsidRPr="004A407D">
              <w:t>111</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08F24A1" w14:textId="77777777" w:rsidR="00527759" w:rsidRPr="004A407D" w:rsidRDefault="00527759" w:rsidP="00752A2E">
            <w:pPr>
              <w:rPr>
                <w:rFonts w:ascii="Arial" w:hAnsi="Arial" w:cs="Arial"/>
              </w:rPr>
            </w:pPr>
            <w:r w:rsidRPr="004A407D">
              <w:t>95</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E7CEC02" w14:textId="77777777" w:rsidR="00527759" w:rsidRPr="004A407D" w:rsidRDefault="00527759" w:rsidP="00752A2E">
            <w:pPr>
              <w:rPr>
                <w:rFonts w:ascii="Arial" w:hAnsi="Arial" w:cs="Arial"/>
              </w:rPr>
            </w:pPr>
            <w:r w:rsidRPr="004A407D">
              <w:t>72</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976F96A" w14:textId="77777777" w:rsidR="00527759" w:rsidRPr="004A407D" w:rsidRDefault="00527759" w:rsidP="00752A2E">
            <w:pPr>
              <w:rPr>
                <w:rFonts w:ascii="Arial" w:hAnsi="Arial" w:cs="Arial"/>
              </w:rPr>
            </w:pPr>
            <w:r w:rsidRPr="004A407D">
              <w:t>68</w:t>
            </w:r>
          </w:p>
        </w:tc>
      </w:tr>
      <w:tr w:rsidR="00527759" w:rsidRPr="004A407D" w14:paraId="7625221B"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A84A673" w14:textId="77777777" w:rsidR="00527759" w:rsidRPr="004A407D" w:rsidRDefault="00527759" w:rsidP="00752A2E">
            <w:pPr>
              <w:rPr>
                <w:rFonts w:ascii="Arial" w:hAnsi="Arial" w:cs="Arial"/>
              </w:rPr>
            </w:pPr>
            <w:r w:rsidRPr="004A407D">
              <w:t>Sociology for Transfer</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DF25E26" w14:textId="77777777" w:rsidR="00527759" w:rsidRPr="004A407D" w:rsidRDefault="00527759" w:rsidP="00752A2E">
            <w:pPr>
              <w:rPr>
                <w:rFonts w:ascii="Arial" w:hAnsi="Arial" w:cs="Arial"/>
              </w:rPr>
            </w:pPr>
            <w:r w:rsidRPr="004A407D">
              <w:t>128</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6129F83" w14:textId="77777777" w:rsidR="00527759" w:rsidRPr="004A407D" w:rsidRDefault="00527759" w:rsidP="00752A2E">
            <w:pPr>
              <w:rPr>
                <w:rFonts w:ascii="Arial" w:hAnsi="Arial" w:cs="Arial"/>
              </w:rPr>
            </w:pPr>
            <w:r w:rsidRPr="004A407D">
              <w:t>128</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37E37E9" w14:textId="77777777" w:rsidR="00527759" w:rsidRPr="004A407D" w:rsidRDefault="00527759" w:rsidP="00752A2E">
            <w:pPr>
              <w:rPr>
                <w:rFonts w:ascii="Arial" w:hAnsi="Arial" w:cs="Arial"/>
              </w:rPr>
            </w:pPr>
            <w:r w:rsidRPr="004A407D">
              <w:t>101</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C33BEE3" w14:textId="77777777" w:rsidR="00527759" w:rsidRPr="004A407D" w:rsidRDefault="00527759" w:rsidP="00752A2E">
            <w:pPr>
              <w:rPr>
                <w:rFonts w:ascii="Arial" w:hAnsi="Arial" w:cs="Arial"/>
              </w:rPr>
            </w:pPr>
            <w:r w:rsidRPr="004A407D">
              <w:t>66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82ECAC1" w14:textId="77777777" w:rsidR="00527759" w:rsidRPr="004A407D" w:rsidRDefault="00527759" w:rsidP="00752A2E">
            <w:pPr>
              <w:rPr>
                <w:rFonts w:ascii="Arial" w:hAnsi="Arial" w:cs="Arial"/>
              </w:rPr>
            </w:pPr>
            <w:r w:rsidRPr="004A407D">
              <w:t>67</w:t>
            </w:r>
          </w:p>
        </w:tc>
      </w:tr>
    </w:tbl>
    <w:p w14:paraId="099A5767" w14:textId="5AA30279" w:rsidR="00527759" w:rsidRPr="002E038F"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0"/>
          <w:szCs w:val="20"/>
        </w:rPr>
      </w:pPr>
      <w:r w:rsidRPr="002E038F">
        <w:rPr>
          <w:rFonts w:asciiTheme="minorHAnsi" w:eastAsiaTheme="minorEastAsia" w:hAnsi="Calibri" w:cstheme="minorBidi"/>
          <w:i/>
          <w:iCs/>
          <w:color w:val="000000" w:themeColor="text1"/>
          <w:kern w:val="24"/>
          <w:sz w:val="20"/>
          <w:szCs w:val="20"/>
        </w:rPr>
        <w:t>Source: Taft College Office of Institutional Research and Planning</w:t>
      </w:r>
      <w:r w:rsidR="002E038F" w:rsidRPr="002E038F">
        <w:rPr>
          <w:rFonts w:asciiTheme="minorHAnsi" w:eastAsiaTheme="minorEastAsia" w:hAnsi="Calibri" w:cstheme="minorBidi"/>
          <w:i/>
          <w:iCs/>
          <w:color w:val="000000" w:themeColor="text1"/>
          <w:kern w:val="24"/>
          <w:sz w:val="20"/>
          <w:szCs w:val="20"/>
        </w:rPr>
        <w:t>.</w:t>
      </w:r>
    </w:p>
    <w:p w14:paraId="0117CBFC" w14:textId="77777777" w:rsidR="00527759" w:rsidRDefault="00527759" w:rsidP="00527759">
      <w:pPr>
        <w:spacing w:after="0"/>
        <w:contextualSpacing/>
        <w:rPr>
          <w:rFonts w:ascii="Times New Roman" w:hAnsi="Times New Roman"/>
          <w:sz w:val="28"/>
        </w:rPr>
      </w:pPr>
    </w:p>
    <w:p w14:paraId="08F9338E" w14:textId="77777777" w:rsidR="00527759" w:rsidRDefault="00527759" w:rsidP="00527759">
      <w:pPr>
        <w:spacing w:after="0"/>
        <w:contextualSpacing/>
        <w:rPr>
          <w:rFonts w:eastAsiaTheme="minorEastAsia" w:hAnsi="Calibri"/>
          <w:color w:val="000000" w:themeColor="text1"/>
          <w:kern w:val="24"/>
        </w:rPr>
      </w:pPr>
      <w:r w:rsidRPr="005B03BA">
        <w:rPr>
          <w:rFonts w:eastAsiaTheme="minorEastAsia" w:hAnsi="Calibri"/>
          <w:color w:val="000000" w:themeColor="text1"/>
          <w:kern w:val="24"/>
        </w:rPr>
        <w:t xml:space="preserve">Over the past five years, Liberal Arts for Allied Health has remained the most popular major for Taft College students. </w:t>
      </w:r>
    </w:p>
    <w:p w14:paraId="5B3B7A1E" w14:textId="77777777" w:rsidR="00527759" w:rsidRPr="005B03BA" w:rsidRDefault="00527759" w:rsidP="00527759">
      <w:pPr>
        <w:spacing w:after="0"/>
        <w:contextualSpacing/>
        <w:rPr>
          <w:rFonts w:ascii="Times New Roman" w:hAnsi="Times New Roman"/>
        </w:rPr>
      </w:pPr>
    </w:p>
    <w:p w14:paraId="13C8CAB3" w14:textId="77777777" w:rsidR="00527759" w:rsidRPr="00A108CC" w:rsidRDefault="00527759" w:rsidP="00527759">
      <w:pPr>
        <w:spacing w:after="0"/>
        <w:contextualSpacing/>
        <w:rPr>
          <w:rFonts w:ascii="Times New Roman" w:hAnsi="Times New Roman"/>
        </w:rPr>
      </w:pPr>
      <w:r w:rsidRPr="005B03BA">
        <w:rPr>
          <w:rFonts w:eastAsiaTheme="minorEastAsia" w:hAnsi="Calibri"/>
          <w:color w:val="000000" w:themeColor="text1"/>
          <w:kern w:val="24"/>
        </w:rPr>
        <w:t>Business Administration 2.0 and Elementary Teacher Ed gained popularity quickly after being introduced</w:t>
      </w:r>
      <w:r>
        <w:rPr>
          <w:rFonts w:eastAsiaTheme="minorEastAsia" w:hAnsi="Calibri"/>
          <w:color w:val="000000" w:themeColor="text1"/>
          <w:kern w:val="24"/>
        </w:rPr>
        <w:t>.</w:t>
      </w:r>
    </w:p>
    <w:p w14:paraId="1914DF24" w14:textId="77777777" w:rsidR="00527759" w:rsidRDefault="00527759" w:rsidP="00527759">
      <w:pPr>
        <w:spacing w:after="0"/>
        <w:contextualSpacing/>
        <w:rPr>
          <w:rFonts w:eastAsiaTheme="minorEastAsia" w:hAnsi="Calibri"/>
          <w:color w:val="000000" w:themeColor="text1"/>
          <w:kern w:val="24"/>
          <w:sz w:val="28"/>
          <w:szCs w:val="28"/>
        </w:rPr>
      </w:pPr>
    </w:p>
    <w:p w14:paraId="50C11EB3" w14:textId="77777777" w:rsidR="00527759" w:rsidRDefault="00527759" w:rsidP="00527759">
      <w:pPr>
        <w:spacing w:after="0"/>
        <w:contextualSpacing/>
        <w:rPr>
          <w:rFonts w:eastAsiaTheme="minorEastAsia" w:hAnsi="Calibri"/>
          <w:color w:val="000000" w:themeColor="text1"/>
          <w:kern w:val="24"/>
          <w:sz w:val="28"/>
          <w:szCs w:val="28"/>
        </w:rPr>
      </w:pPr>
    </w:p>
    <w:p w14:paraId="0DC9222F" w14:textId="77777777" w:rsidR="001509DE" w:rsidRDefault="001509DE">
      <w:pPr>
        <w:spacing w:after="0"/>
        <w:rPr>
          <w:rFonts w:asciiTheme="majorHAnsi" w:hAnsiTheme="majorHAnsi" w:cstheme="majorBidi"/>
          <w:b/>
          <w:bCs/>
          <w:color w:val="4472C4" w:themeColor="accent1"/>
          <w:sz w:val="24"/>
        </w:rPr>
      </w:pPr>
      <w:r>
        <w:br w:type="page"/>
      </w:r>
    </w:p>
    <w:p w14:paraId="1BC3A2D4" w14:textId="72039071" w:rsidR="00527759" w:rsidRDefault="00527759" w:rsidP="007328B8">
      <w:bookmarkStart w:id="241" w:name="_Toc194324268"/>
      <w:r>
        <w:lastRenderedPageBreak/>
        <w:t>Total Awards</w:t>
      </w:r>
      <w:bookmarkEnd w:id="241"/>
    </w:p>
    <w:p w14:paraId="4A93CBA4" w14:textId="77777777" w:rsidR="001509DE" w:rsidRPr="001509DE" w:rsidRDefault="001509DE" w:rsidP="001509DE"/>
    <w:p w14:paraId="3B4A64C6" w14:textId="77777777" w:rsidR="00527759" w:rsidRDefault="00527759" w:rsidP="00752A2E">
      <w:pPr>
        <w:rPr>
          <w:rFonts w:ascii="Times New Roman" w:hAnsi="Times New Roman"/>
          <w:sz w:val="28"/>
        </w:rPr>
      </w:pPr>
      <w:r>
        <w:rPr>
          <w:noProof/>
        </w:rPr>
        <w:drawing>
          <wp:inline distT="0" distB="0" distL="0" distR="0" wp14:anchorId="6920F1E2" wp14:editId="2FEC4BFC">
            <wp:extent cx="6400800" cy="3506470"/>
            <wp:effectExtent l="0" t="0" r="0" b="0"/>
            <wp:docPr id="1483902162" name="Content Placeholder 4">
              <a:extLst xmlns:a="http://schemas.openxmlformats.org/drawingml/2006/main">
                <a:ext uri="{FF2B5EF4-FFF2-40B4-BE49-F238E27FC236}">
                  <a16:creationId xmlns:a16="http://schemas.microsoft.com/office/drawing/2014/main" id="{7033698A-E037-BEE3-FC89-D31A9DF7539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7033698A-E037-BEE3-FC89-D31A9DF75391}"/>
                        </a:ext>
                      </a:extLst>
                    </pic:cNvPr>
                    <pic:cNvPicPr>
                      <a:picLocks noGrp="1" noChangeAspect="1"/>
                    </pic:cNvPicPr>
                  </pic:nvPicPr>
                  <pic:blipFill>
                    <a:blip r:embed="rId86"/>
                    <a:stretch>
                      <a:fillRect/>
                    </a:stretch>
                  </pic:blipFill>
                  <pic:spPr>
                    <a:xfrm>
                      <a:off x="0" y="0"/>
                      <a:ext cx="6400800" cy="3506470"/>
                    </a:xfrm>
                    <a:prstGeom prst="rect">
                      <a:avLst/>
                    </a:prstGeom>
                  </pic:spPr>
                </pic:pic>
              </a:graphicData>
            </a:graphic>
          </wp:inline>
        </w:drawing>
      </w:r>
    </w:p>
    <w:p w14:paraId="3008DDE4" w14:textId="3AA2B44C" w:rsidR="00527759" w:rsidRPr="00B471F7"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0"/>
          <w:szCs w:val="20"/>
        </w:rPr>
      </w:pPr>
      <w:r w:rsidRPr="00B471F7">
        <w:rPr>
          <w:rFonts w:asciiTheme="minorHAnsi" w:eastAsiaTheme="minorEastAsia" w:hAnsi="Calibri" w:cstheme="minorBidi"/>
          <w:i/>
          <w:iCs/>
          <w:color w:val="000000" w:themeColor="text1"/>
          <w:kern w:val="24"/>
          <w:sz w:val="20"/>
          <w:szCs w:val="20"/>
        </w:rPr>
        <w:t>Source: Taft College Office of Institutional Research and Planning</w:t>
      </w:r>
      <w:r w:rsidR="002E038F">
        <w:rPr>
          <w:rFonts w:asciiTheme="minorHAnsi" w:eastAsiaTheme="minorEastAsia" w:hAnsi="Calibri" w:cstheme="minorBidi"/>
          <w:i/>
          <w:iCs/>
          <w:color w:val="000000" w:themeColor="text1"/>
          <w:kern w:val="24"/>
          <w:sz w:val="20"/>
          <w:szCs w:val="20"/>
        </w:rPr>
        <w:t>.</w:t>
      </w:r>
    </w:p>
    <w:p w14:paraId="5F354520" w14:textId="77777777" w:rsidR="00527759" w:rsidRPr="002148F6" w:rsidRDefault="00527759" w:rsidP="00527759">
      <w:pPr>
        <w:spacing w:after="0"/>
        <w:contextualSpacing/>
        <w:rPr>
          <w:rFonts w:ascii="Times New Roman" w:hAnsi="Times New Roman"/>
        </w:rPr>
      </w:pPr>
    </w:p>
    <w:p w14:paraId="19A9B98A" w14:textId="77777777" w:rsidR="00527759" w:rsidRDefault="00527759" w:rsidP="00527759">
      <w:pPr>
        <w:spacing w:after="0"/>
        <w:contextualSpacing/>
        <w:rPr>
          <w:rFonts w:eastAsiaTheme="minorEastAsia" w:hAnsi="Calibri"/>
          <w:color w:val="000000" w:themeColor="text1"/>
          <w:kern w:val="24"/>
        </w:rPr>
      </w:pPr>
      <w:r w:rsidRPr="0025579E">
        <w:rPr>
          <w:rFonts w:eastAsiaTheme="minorEastAsia" w:hAnsi="Calibri"/>
          <w:color w:val="000000" w:themeColor="text1"/>
          <w:kern w:val="24"/>
        </w:rPr>
        <w:t xml:space="preserve">In 2022-2023, 777 </w:t>
      </w:r>
      <w:r w:rsidRPr="002148F6">
        <w:rPr>
          <w:rFonts w:eastAsiaTheme="minorEastAsia" w:hAnsi="Calibri"/>
          <w:color w:val="000000" w:themeColor="text1"/>
          <w:kern w:val="24"/>
        </w:rPr>
        <w:t>have been</w:t>
      </w:r>
      <w:r w:rsidRPr="0025579E">
        <w:rPr>
          <w:rFonts w:eastAsiaTheme="minorEastAsia" w:hAnsi="Calibri"/>
          <w:color w:val="000000" w:themeColor="text1"/>
          <w:kern w:val="24"/>
        </w:rPr>
        <w:t xml:space="preserve"> awarded (to date)</w:t>
      </w:r>
      <w:r w:rsidRPr="002148F6">
        <w:rPr>
          <w:rFonts w:eastAsiaTheme="minorEastAsia" w:hAnsi="Calibri"/>
          <w:color w:val="000000" w:themeColor="text1"/>
          <w:kern w:val="24"/>
        </w:rPr>
        <w:t>.</w:t>
      </w:r>
    </w:p>
    <w:p w14:paraId="1F3F9F9A" w14:textId="77777777" w:rsidR="00527759" w:rsidRPr="0025579E" w:rsidRDefault="00527759" w:rsidP="00527759">
      <w:pPr>
        <w:spacing w:after="0"/>
        <w:contextualSpacing/>
        <w:rPr>
          <w:rFonts w:ascii="Times New Roman" w:hAnsi="Times New Roman"/>
        </w:rPr>
      </w:pPr>
    </w:p>
    <w:p w14:paraId="66DAA0D3" w14:textId="495B2D6A" w:rsidR="00527759" w:rsidRDefault="00527759" w:rsidP="00527759">
      <w:pPr>
        <w:spacing w:after="0"/>
        <w:contextualSpacing/>
        <w:rPr>
          <w:rFonts w:eastAsiaTheme="minorEastAsia" w:hAnsi="Calibri"/>
          <w:color w:val="000000" w:themeColor="text1"/>
          <w:kern w:val="24"/>
        </w:rPr>
      </w:pPr>
      <w:r w:rsidRPr="0025579E">
        <w:rPr>
          <w:rFonts w:eastAsiaTheme="minorEastAsia" w:hAnsi="Calibri"/>
          <w:color w:val="000000" w:themeColor="text1"/>
          <w:kern w:val="24"/>
        </w:rPr>
        <w:t>Taft College has awarded between 665 and 852 degrees and certificates annually over the past 7 years, with lowe</w:t>
      </w:r>
      <w:r w:rsidR="009933DC">
        <w:rPr>
          <w:rFonts w:eastAsiaTheme="minorEastAsia" w:hAnsi="Calibri"/>
          <w:color w:val="000000" w:themeColor="text1"/>
          <w:kern w:val="24"/>
        </w:rPr>
        <w:t>r</w:t>
      </w:r>
      <w:r w:rsidRPr="0025579E">
        <w:rPr>
          <w:rFonts w:eastAsiaTheme="minorEastAsia" w:hAnsi="Calibri"/>
          <w:color w:val="000000" w:themeColor="text1"/>
          <w:kern w:val="24"/>
        </w:rPr>
        <w:t xml:space="preserve"> number</w:t>
      </w:r>
      <w:r w:rsidR="009933DC">
        <w:rPr>
          <w:rFonts w:eastAsiaTheme="minorEastAsia" w:hAnsi="Calibri"/>
          <w:color w:val="000000" w:themeColor="text1"/>
          <w:kern w:val="24"/>
        </w:rPr>
        <w:t>s</w:t>
      </w:r>
      <w:r w:rsidRPr="0025579E">
        <w:rPr>
          <w:rFonts w:eastAsiaTheme="minorEastAsia" w:hAnsi="Calibri"/>
          <w:color w:val="000000" w:themeColor="text1"/>
          <w:kern w:val="24"/>
        </w:rPr>
        <w:t xml:space="preserve"> </w:t>
      </w:r>
      <w:r w:rsidR="009933DC">
        <w:rPr>
          <w:rFonts w:eastAsiaTheme="minorEastAsia" w:hAnsi="Calibri"/>
          <w:color w:val="000000" w:themeColor="text1"/>
          <w:kern w:val="24"/>
        </w:rPr>
        <w:t xml:space="preserve">occurring </w:t>
      </w:r>
      <w:r w:rsidRPr="0025579E">
        <w:rPr>
          <w:rFonts w:eastAsiaTheme="minorEastAsia" w:hAnsi="Calibri"/>
          <w:color w:val="000000" w:themeColor="text1"/>
          <w:kern w:val="24"/>
        </w:rPr>
        <w:t xml:space="preserve">during the </w:t>
      </w:r>
      <w:r w:rsidR="00BC2144">
        <w:rPr>
          <w:rFonts w:eastAsiaTheme="minorEastAsia" w:hAnsi="Calibri"/>
          <w:color w:val="000000" w:themeColor="text1"/>
          <w:kern w:val="24"/>
        </w:rPr>
        <w:t>COVID-19 pandemic</w:t>
      </w:r>
      <w:r w:rsidRPr="002148F6">
        <w:rPr>
          <w:rFonts w:eastAsiaTheme="minorEastAsia" w:hAnsi="Calibri"/>
          <w:color w:val="000000" w:themeColor="text1"/>
          <w:kern w:val="24"/>
        </w:rPr>
        <w:t>.</w:t>
      </w:r>
    </w:p>
    <w:p w14:paraId="6C589C3C" w14:textId="77777777" w:rsidR="00527759" w:rsidRPr="0025579E" w:rsidRDefault="00527759" w:rsidP="00527759">
      <w:pPr>
        <w:spacing w:after="0"/>
        <w:contextualSpacing/>
        <w:rPr>
          <w:rFonts w:ascii="Times New Roman" w:hAnsi="Times New Roman"/>
        </w:rPr>
      </w:pPr>
    </w:p>
    <w:p w14:paraId="1E6EA4FB" w14:textId="72D9CE31" w:rsidR="00527759" w:rsidRDefault="00527759" w:rsidP="00527759">
      <w:pPr>
        <w:spacing w:after="0"/>
        <w:contextualSpacing/>
        <w:rPr>
          <w:rFonts w:eastAsiaTheme="minorEastAsia" w:hAnsi="Calibri"/>
          <w:color w:val="000000" w:themeColor="text1"/>
          <w:kern w:val="24"/>
        </w:rPr>
      </w:pPr>
      <w:r w:rsidRPr="0025579E">
        <w:rPr>
          <w:rFonts w:eastAsiaTheme="minorEastAsia" w:hAnsi="Calibri"/>
          <w:color w:val="000000" w:themeColor="text1"/>
          <w:kern w:val="24"/>
        </w:rPr>
        <w:t xml:space="preserve">The majority of awards are </w:t>
      </w:r>
      <w:proofErr w:type="gramStart"/>
      <w:r w:rsidRPr="0025579E">
        <w:rPr>
          <w:rFonts w:eastAsiaTheme="minorEastAsia" w:hAnsi="Calibri"/>
          <w:color w:val="000000" w:themeColor="text1"/>
          <w:kern w:val="24"/>
        </w:rPr>
        <w:t>Associate degrees and Associate</w:t>
      </w:r>
      <w:proofErr w:type="gramEnd"/>
      <w:r w:rsidRPr="0025579E">
        <w:rPr>
          <w:rFonts w:eastAsiaTheme="minorEastAsia" w:hAnsi="Calibri"/>
          <w:color w:val="000000" w:themeColor="text1"/>
          <w:kern w:val="24"/>
        </w:rPr>
        <w:t xml:space="preserve"> degrees for Transfer</w:t>
      </w:r>
      <w:r w:rsidRPr="002148F6">
        <w:rPr>
          <w:rFonts w:eastAsiaTheme="minorEastAsia" w:hAnsi="Calibri"/>
          <w:color w:val="000000" w:themeColor="text1"/>
          <w:kern w:val="24"/>
        </w:rPr>
        <w:t>.</w:t>
      </w:r>
    </w:p>
    <w:p w14:paraId="15BBFC57" w14:textId="77777777" w:rsidR="00527759" w:rsidRPr="0025579E" w:rsidRDefault="00527759" w:rsidP="00527759">
      <w:pPr>
        <w:spacing w:after="0"/>
        <w:contextualSpacing/>
        <w:rPr>
          <w:rFonts w:ascii="Times New Roman" w:hAnsi="Times New Roman"/>
        </w:rPr>
      </w:pPr>
    </w:p>
    <w:p w14:paraId="67CC5033" w14:textId="77777777" w:rsidR="00527759" w:rsidRPr="0025579E" w:rsidRDefault="00527759" w:rsidP="00527759">
      <w:pPr>
        <w:spacing w:after="0"/>
        <w:contextualSpacing/>
        <w:rPr>
          <w:rFonts w:ascii="Times New Roman" w:hAnsi="Times New Roman"/>
        </w:rPr>
      </w:pPr>
      <w:r w:rsidRPr="0025579E">
        <w:rPr>
          <w:rFonts w:eastAsiaTheme="minorEastAsia" w:hAnsi="Calibri"/>
          <w:color w:val="000000" w:themeColor="text1"/>
          <w:kern w:val="24"/>
        </w:rPr>
        <w:t>The number of certificates (non-local) awarded increased notably in 2022-23</w:t>
      </w:r>
      <w:r w:rsidRPr="002148F6">
        <w:rPr>
          <w:rFonts w:eastAsiaTheme="minorEastAsia" w:hAnsi="Calibri"/>
          <w:color w:val="000000" w:themeColor="text1"/>
          <w:kern w:val="24"/>
        </w:rPr>
        <w:t>.</w:t>
      </w:r>
    </w:p>
    <w:p w14:paraId="242D9004" w14:textId="77777777" w:rsidR="00527759" w:rsidRDefault="00527759" w:rsidP="00527759">
      <w:pPr>
        <w:spacing w:after="0"/>
        <w:contextualSpacing/>
        <w:rPr>
          <w:rFonts w:ascii="Times New Roman" w:hAnsi="Times New Roman"/>
          <w:sz w:val="28"/>
        </w:rPr>
      </w:pPr>
    </w:p>
    <w:p w14:paraId="02FABAFB" w14:textId="77777777" w:rsidR="00527759" w:rsidRDefault="00527759" w:rsidP="00527759">
      <w:pPr>
        <w:rPr>
          <w:rFonts w:ascii="Calibri" w:eastAsia="DengXian Light" w:hAnsi="Calibri" w:cs="Calibri"/>
          <w:b/>
          <w:bCs/>
          <w:color w:val="FF9900"/>
          <w:sz w:val="28"/>
          <w:szCs w:val="28"/>
        </w:rPr>
      </w:pPr>
      <w:r>
        <w:br w:type="page"/>
      </w:r>
    </w:p>
    <w:p w14:paraId="67E3D445" w14:textId="77777777" w:rsidR="00527759" w:rsidRDefault="00527759" w:rsidP="007328B8">
      <w:bookmarkStart w:id="242" w:name="_Toc194324269"/>
      <w:r>
        <w:lastRenderedPageBreak/>
        <w:t>Unduplicated Student Awards</w:t>
      </w:r>
      <w:bookmarkEnd w:id="242"/>
    </w:p>
    <w:p w14:paraId="2A5357E7" w14:textId="77777777" w:rsidR="00527759" w:rsidRDefault="00527759" w:rsidP="00527759">
      <w:pPr>
        <w:spacing w:after="0"/>
        <w:contextualSpacing/>
        <w:rPr>
          <w:rFonts w:ascii="Times New Roman" w:hAnsi="Times New Roman"/>
          <w:sz w:val="28"/>
        </w:rPr>
      </w:pPr>
    </w:p>
    <w:p w14:paraId="5A5FF48F" w14:textId="77777777" w:rsidR="00527759" w:rsidRDefault="00527759" w:rsidP="00527759">
      <w:pPr>
        <w:spacing w:after="0"/>
        <w:contextualSpacing/>
        <w:rPr>
          <w:rFonts w:ascii="Times New Roman" w:hAnsi="Times New Roman"/>
          <w:sz w:val="28"/>
        </w:rPr>
      </w:pPr>
      <w:r>
        <w:rPr>
          <w:noProof/>
        </w:rPr>
        <w:drawing>
          <wp:inline distT="0" distB="0" distL="0" distR="0" wp14:anchorId="172BD712" wp14:editId="07E67CD3">
            <wp:extent cx="6400800" cy="3515995"/>
            <wp:effectExtent l="0" t="0" r="0" b="8255"/>
            <wp:docPr id="595888924" name="Content Placeholder 4">
              <a:extLst xmlns:a="http://schemas.openxmlformats.org/drawingml/2006/main">
                <a:ext uri="{FF2B5EF4-FFF2-40B4-BE49-F238E27FC236}">
                  <a16:creationId xmlns:a16="http://schemas.microsoft.com/office/drawing/2014/main" id="{1A10739C-58C0-E72C-FAFD-282C0E02A34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1A10739C-58C0-E72C-FAFD-282C0E02A345}"/>
                        </a:ext>
                      </a:extLst>
                    </pic:cNvPr>
                    <pic:cNvPicPr>
                      <a:picLocks noGrp="1" noChangeAspect="1"/>
                    </pic:cNvPicPr>
                  </pic:nvPicPr>
                  <pic:blipFill>
                    <a:blip r:embed="rId87"/>
                    <a:stretch>
                      <a:fillRect/>
                    </a:stretch>
                  </pic:blipFill>
                  <pic:spPr>
                    <a:xfrm>
                      <a:off x="0" y="0"/>
                      <a:ext cx="6400800" cy="3515995"/>
                    </a:xfrm>
                    <a:prstGeom prst="rect">
                      <a:avLst/>
                    </a:prstGeom>
                  </pic:spPr>
                </pic:pic>
              </a:graphicData>
            </a:graphic>
          </wp:inline>
        </w:drawing>
      </w:r>
    </w:p>
    <w:p w14:paraId="18424646" w14:textId="77777777" w:rsidR="002E038F" w:rsidRPr="002E038F" w:rsidRDefault="00527759" w:rsidP="002E038F">
      <w:pPr>
        <w:rPr>
          <w:rFonts w:ascii="Times New Roman" w:hAnsi="Times New Roman"/>
          <w:i/>
          <w:iCs/>
          <w:sz w:val="20"/>
          <w:szCs w:val="20"/>
        </w:rPr>
      </w:pPr>
      <w:r w:rsidRPr="002E038F">
        <w:rPr>
          <w:rFonts w:eastAsiaTheme="minorEastAsia"/>
          <w:i/>
          <w:iCs/>
          <w:sz w:val="20"/>
          <w:szCs w:val="20"/>
        </w:rPr>
        <w:t>Source: Taft College Office of Institutional Research and Planning</w:t>
      </w:r>
      <w:r w:rsidR="002E038F" w:rsidRPr="002E038F">
        <w:rPr>
          <w:rFonts w:eastAsiaTheme="minorEastAsia"/>
          <w:i/>
          <w:iCs/>
          <w:sz w:val="20"/>
          <w:szCs w:val="20"/>
        </w:rPr>
        <w:t>.</w:t>
      </w:r>
      <w:r w:rsidR="002E038F">
        <w:rPr>
          <w:rFonts w:eastAsiaTheme="minorEastAsia"/>
          <w:i/>
          <w:iCs/>
          <w:sz w:val="20"/>
          <w:szCs w:val="20"/>
        </w:rPr>
        <w:br/>
      </w:r>
      <w:r w:rsidR="002E038F" w:rsidRPr="009933DC">
        <w:rPr>
          <w:rFonts w:eastAsiaTheme="minorEastAsia"/>
          <w:i/>
          <w:iCs/>
        </w:rPr>
        <w:t xml:space="preserve">Note: In 2022-2023, 777 </w:t>
      </w:r>
      <w:r w:rsidR="002E038F" w:rsidRPr="002E038F">
        <w:rPr>
          <w:rFonts w:eastAsiaTheme="minorEastAsia"/>
          <w:i/>
          <w:iCs/>
          <w:sz w:val="20"/>
          <w:szCs w:val="20"/>
        </w:rPr>
        <w:t>awards were bestowed on 394 students, for an average of 2 awards per student.</w:t>
      </w:r>
    </w:p>
    <w:p w14:paraId="6901CF41" w14:textId="77777777" w:rsidR="00527759" w:rsidRDefault="00527759" w:rsidP="00527759">
      <w:pPr>
        <w:spacing w:after="0"/>
        <w:contextualSpacing/>
        <w:rPr>
          <w:rFonts w:ascii="Times New Roman" w:hAnsi="Times New Roman"/>
          <w:sz w:val="28"/>
        </w:rPr>
      </w:pPr>
    </w:p>
    <w:p w14:paraId="0578E7AE" w14:textId="77777777" w:rsidR="00527759" w:rsidRDefault="00527759" w:rsidP="00527759">
      <w:pPr>
        <w:spacing w:after="0"/>
        <w:contextualSpacing/>
        <w:rPr>
          <w:rFonts w:eastAsiaTheme="minorEastAsia" w:hAnsi="Calibri"/>
          <w:color w:val="000000" w:themeColor="text1"/>
          <w:kern w:val="24"/>
        </w:rPr>
      </w:pPr>
      <w:r w:rsidRPr="00BB2C61">
        <w:rPr>
          <w:rFonts w:eastAsiaTheme="minorEastAsia" w:hAnsi="Calibri"/>
          <w:color w:val="000000" w:themeColor="text1"/>
          <w:kern w:val="24"/>
        </w:rPr>
        <w:t>Between 394 and 484 Taft College students have earned one or more awards annually in recent years, with many earning more than one award</w:t>
      </w:r>
      <w:r>
        <w:rPr>
          <w:rFonts w:eastAsiaTheme="minorEastAsia" w:hAnsi="Calibri"/>
          <w:color w:val="000000" w:themeColor="text1"/>
          <w:kern w:val="24"/>
        </w:rPr>
        <w:t>.</w:t>
      </w:r>
    </w:p>
    <w:p w14:paraId="0A5CA361" w14:textId="77777777" w:rsidR="00527759" w:rsidRPr="00BB2C61" w:rsidRDefault="00527759" w:rsidP="00527759">
      <w:pPr>
        <w:spacing w:after="0"/>
        <w:contextualSpacing/>
        <w:rPr>
          <w:rFonts w:ascii="Times New Roman" w:hAnsi="Times New Roman"/>
        </w:rPr>
      </w:pPr>
    </w:p>
    <w:p w14:paraId="1EF47750" w14:textId="77777777" w:rsidR="00527759" w:rsidRDefault="00527759" w:rsidP="00527759">
      <w:pPr>
        <w:spacing w:after="0"/>
        <w:contextualSpacing/>
        <w:rPr>
          <w:rFonts w:eastAsiaTheme="minorEastAsia" w:hAnsi="Calibri"/>
          <w:color w:val="000000" w:themeColor="text1"/>
          <w:kern w:val="24"/>
        </w:rPr>
      </w:pPr>
      <w:r w:rsidRPr="00BB2C61">
        <w:rPr>
          <w:rFonts w:eastAsiaTheme="minorEastAsia" w:hAnsi="Calibri"/>
          <w:color w:val="000000" w:themeColor="text1"/>
          <w:kern w:val="24"/>
        </w:rPr>
        <w:t>While more degree</w:t>
      </w:r>
      <w:r>
        <w:rPr>
          <w:rFonts w:eastAsiaTheme="minorEastAsia" w:hAnsi="Calibri"/>
          <w:color w:val="000000" w:themeColor="text1"/>
          <w:kern w:val="24"/>
        </w:rPr>
        <w:t>-</w:t>
      </w:r>
      <w:r w:rsidRPr="00BB2C61">
        <w:rPr>
          <w:rFonts w:eastAsiaTheme="minorEastAsia" w:hAnsi="Calibri"/>
          <w:color w:val="000000" w:themeColor="text1"/>
          <w:kern w:val="24"/>
        </w:rPr>
        <w:t>earning students are receiving local Associate degrees, over the past years an increasing number are earning Associate Degrees for Transfer</w:t>
      </w:r>
      <w:r>
        <w:rPr>
          <w:rFonts w:eastAsiaTheme="minorEastAsia" w:hAnsi="Calibri"/>
          <w:color w:val="000000" w:themeColor="text1"/>
          <w:kern w:val="24"/>
        </w:rPr>
        <w:t>.</w:t>
      </w:r>
    </w:p>
    <w:p w14:paraId="2391FEF2" w14:textId="77777777" w:rsidR="00527759" w:rsidRPr="00BB2C61" w:rsidRDefault="00527759" w:rsidP="00527759">
      <w:pPr>
        <w:spacing w:after="0"/>
        <w:contextualSpacing/>
        <w:rPr>
          <w:rFonts w:ascii="Times New Roman" w:hAnsi="Times New Roman"/>
        </w:rPr>
      </w:pPr>
    </w:p>
    <w:p w14:paraId="7D7E7FE7" w14:textId="77777777" w:rsidR="00527759" w:rsidRDefault="00527759" w:rsidP="00527759">
      <w:pPr>
        <w:spacing w:after="0"/>
        <w:contextualSpacing/>
        <w:rPr>
          <w:rFonts w:ascii="Times New Roman" w:hAnsi="Times New Roman"/>
          <w:sz w:val="28"/>
        </w:rPr>
      </w:pPr>
    </w:p>
    <w:p w14:paraId="78FDC9CF" w14:textId="77777777" w:rsidR="00527759" w:rsidRDefault="00527759" w:rsidP="00527759">
      <w:pPr>
        <w:spacing w:after="0"/>
        <w:contextualSpacing/>
        <w:rPr>
          <w:rFonts w:ascii="Times New Roman" w:hAnsi="Times New Roman"/>
          <w:sz w:val="28"/>
        </w:rPr>
      </w:pPr>
    </w:p>
    <w:p w14:paraId="3B340502" w14:textId="77777777" w:rsidR="00527759" w:rsidRDefault="00527759" w:rsidP="00527759">
      <w:pPr>
        <w:rPr>
          <w:rFonts w:ascii="Calibri" w:eastAsia="DengXian Light" w:hAnsi="Calibri" w:cs="Calibri"/>
          <w:b/>
          <w:bCs/>
          <w:color w:val="FF9900"/>
          <w:sz w:val="28"/>
          <w:szCs w:val="28"/>
        </w:rPr>
      </w:pPr>
      <w:r>
        <w:br w:type="page"/>
      </w:r>
    </w:p>
    <w:p w14:paraId="55B0EC7A" w14:textId="77777777" w:rsidR="00527759" w:rsidRDefault="00527759" w:rsidP="007328B8">
      <w:bookmarkStart w:id="243" w:name="_Toc194324270"/>
      <w:r>
        <w:lastRenderedPageBreak/>
        <w:t>Top Awards, 2023-2024</w:t>
      </w:r>
      <w:bookmarkEnd w:id="243"/>
    </w:p>
    <w:p w14:paraId="4B71722F" w14:textId="77777777" w:rsidR="001509DE" w:rsidRPr="001509DE" w:rsidRDefault="001509DE" w:rsidP="001509DE"/>
    <w:tbl>
      <w:tblPr>
        <w:tblW w:w="8380" w:type="dxa"/>
        <w:jc w:val="center"/>
        <w:tblCellMar>
          <w:left w:w="0" w:type="dxa"/>
          <w:right w:w="0" w:type="dxa"/>
        </w:tblCellMar>
        <w:tblLook w:val="0600" w:firstRow="0" w:lastRow="0" w:firstColumn="0" w:lastColumn="0" w:noHBand="1" w:noVBand="1"/>
      </w:tblPr>
      <w:tblGrid>
        <w:gridCol w:w="7140"/>
        <w:gridCol w:w="1240"/>
      </w:tblGrid>
      <w:tr w:rsidR="00527759" w:rsidRPr="00100143" w14:paraId="346FFB80" w14:textId="77777777" w:rsidTr="00B13ECD">
        <w:trPr>
          <w:trHeight w:val="290"/>
          <w:jc w:val="center"/>
        </w:trPr>
        <w:tc>
          <w:tcPr>
            <w:tcW w:w="7140" w:type="dxa"/>
            <w:tcBorders>
              <w:top w:val="nil"/>
              <w:left w:val="nil"/>
              <w:bottom w:val="nil"/>
              <w:right w:val="nil"/>
            </w:tcBorders>
            <w:shd w:val="clear" w:color="auto" w:fill="E09878"/>
            <w:tcMar>
              <w:top w:w="10" w:type="dxa"/>
              <w:left w:w="10" w:type="dxa"/>
              <w:bottom w:w="0" w:type="dxa"/>
              <w:right w:w="10" w:type="dxa"/>
            </w:tcMar>
            <w:vAlign w:val="bottom"/>
            <w:hideMark/>
          </w:tcPr>
          <w:p w14:paraId="7F6CDA7C"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b/>
                <w:bCs/>
                <w:color w:val="000000"/>
                <w:kern w:val="24"/>
                <w:sz w:val="24"/>
              </w:rPr>
              <w:t>Award</w:t>
            </w:r>
          </w:p>
        </w:tc>
        <w:tc>
          <w:tcPr>
            <w:tcW w:w="1240" w:type="dxa"/>
            <w:tcBorders>
              <w:top w:val="nil"/>
              <w:left w:val="nil"/>
              <w:bottom w:val="nil"/>
              <w:right w:val="nil"/>
            </w:tcBorders>
            <w:shd w:val="clear" w:color="auto" w:fill="E09878"/>
            <w:tcMar>
              <w:top w:w="10" w:type="dxa"/>
              <w:left w:w="10" w:type="dxa"/>
              <w:bottom w:w="0" w:type="dxa"/>
              <w:right w:w="10" w:type="dxa"/>
            </w:tcMar>
            <w:vAlign w:val="bottom"/>
            <w:hideMark/>
          </w:tcPr>
          <w:p w14:paraId="0E06C2E8"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b/>
                <w:bCs/>
                <w:color w:val="000000"/>
                <w:kern w:val="24"/>
                <w:sz w:val="24"/>
              </w:rPr>
              <w:t>#</w:t>
            </w:r>
          </w:p>
        </w:tc>
      </w:tr>
      <w:tr w:rsidR="00527759" w:rsidRPr="00100143" w14:paraId="58E33EBF"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47102056" w14:textId="77777777"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Certificate in CSU GE</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50B55DFB"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151</w:t>
            </w:r>
          </w:p>
        </w:tc>
      </w:tr>
      <w:tr w:rsidR="00527759" w:rsidRPr="00100143" w14:paraId="7182D845"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20EB1A0D" w14:textId="77777777"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AA Liberal Arts Math &amp; Science</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76533771"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70</w:t>
            </w:r>
          </w:p>
        </w:tc>
      </w:tr>
      <w:tr w:rsidR="00527759" w:rsidRPr="00100143" w14:paraId="4B0FAFF7"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43AFB066" w14:textId="77777777"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AA Liberal Arts Allied Health</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460F1118"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64</w:t>
            </w:r>
          </w:p>
        </w:tc>
      </w:tr>
      <w:tr w:rsidR="00527759" w:rsidRPr="00100143" w14:paraId="0B48ADCD"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33DE864D" w14:textId="77777777"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AS Life Science</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7AD2FD34"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44</w:t>
            </w:r>
          </w:p>
        </w:tc>
      </w:tr>
      <w:tr w:rsidR="00527759" w:rsidRPr="00100143" w14:paraId="444F9914"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7E405953" w14:textId="77777777"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AA Liberal Arts Communication</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05AFCCC7"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41</w:t>
            </w:r>
          </w:p>
        </w:tc>
      </w:tr>
      <w:tr w:rsidR="00527759" w:rsidRPr="00100143" w14:paraId="74E7F4ED"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3CB0633E" w14:textId="77777777"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ADT-Psychology for Transfer</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55DC063B"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30</w:t>
            </w:r>
          </w:p>
        </w:tc>
      </w:tr>
      <w:tr w:rsidR="00527759" w:rsidRPr="00100143" w14:paraId="4CFEB270"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01AC0CBB" w14:textId="77777777"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Business Administration 2.0</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40711350"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19</w:t>
            </w:r>
          </w:p>
        </w:tc>
      </w:tr>
      <w:tr w:rsidR="00527759" w:rsidRPr="00100143" w14:paraId="7ABD7685"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62106361" w14:textId="50C9B37C"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AA Liberal Arts Business Techn</w:t>
            </w:r>
            <w:r w:rsidR="009933DC">
              <w:rPr>
                <w:rFonts w:ascii="Calibri" w:hAnsi="Calibri" w:cs="Calibri"/>
                <w:color w:val="000000"/>
                <w:kern w:val="24"/>
                <w:sz w:val="24"/>
              </w:rPr>
              <w:t>ology</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29C16146"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18</w:t>
            </w:r>
          </w:p>
        </w:tc>
      </w:tr>
      <w:tr w:rsidR="00527759" w:rsidRPr="00100143" w14:paraId="2B408852"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5178C014" w14:textId="77777777"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AS Criminal Justice Admin</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206DB189"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18</w:t>
            </w:r>
          </w:p>
        </w:tc>
      </w:tr>
      <w:tr w:rsidR="00527759" w:rsidRPr="00100143" w14:paraId="5C1A6D08"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65BA8A6D" w14:textId="77777777" w:rsidR="00527759" w:rsidRPr="00100143" w:rsidRDefault="00527759" w:rsidP="00B13ECD">
            <w:pPr>
              <w:spacing w:after="0"/>
              <w:textAlignment w:val="bottom"/>
              <w:rPr>
                <w:rFonts w:ascii="Arial" w:hAnsi="Arial" w:cs="Arial"/>
                <w:sz w:val="24"/>
              </w:rPr>
            </w:pPr>
            <w:r w:rsidRPr="00100143">
              <w:rPr>
                <w:rFonts w:ascii="Calibri" w:hAnsi="Calibri" w:cs="Calibri"/>
                <w:color w:val="000000"/>
                <w:kern w:val="24"/>
                <w:sz w:val="24"/>
              </w:rPr>
              <w:t xml:space="preserve"> ADT-Sociology for Transfer</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405D733B"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17</w:t>
            </w:r>
          </w:p>
        </w:tc>
      </w:tr>
      <w:tr w:rsidR="00527759" w:rsidRPr="00100143" w14:paraId="4BA346A0"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7CD5BA7F" w14:textId="5E11CC66"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AA Lib</w:t>
            </w:r>
            <w:r w:rsidR="009933DC">
              <w:rPr>
                <w:rFonts w:ascii="Calibri" w:hAnsi="Calibri" w:cs="Calibri"/>
                <w:color w:val="000000"/>
                <w:kern w:val="24"/>
                <w:sz w:val="24"/>
              </w:rPr>
              <w:t>e</w:t>
            </w:r>
            <w:r w:rsidRPr="00100143">
              <w:rPr>
                <w:rFonts w:ascii="Calibri" w:hAnsi="Calibri" w:cs="Calibri"/>
                <w:color w:val="000000"/>
                <w:kern w:val="24"/>
                <w:sz w:val="24"/>
              </w:rPr>
              <w:t>ral Arts Natural Life Sci</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2E609E3D"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17</w:t>
            </w:r>
          </w:p>
        </w:tc>
      </w:tr>
      <w:tr w:rsidR="00527759" w:rsidRPr="00100143" w14:paraId="55A3601D"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51D9585E" w14:textId="77777777"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AS Dental Hygiene</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1A1FEBBD"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15</w:t>
            </w:r>
          </w:p>
        </w:tc>
      </w:tr>
      <w:tr w:rsidR="00527759" w:rsidRPr="00100143" w14:paraId="4C418FD9"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77AB2A0C" w14:textId="77777777"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AS General Business</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7C7915AD"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15</w:t>
            </w:r>
          </w:p>
        </w:tc>
      </w:tr>
      <w:tr w:rsidR="00527759" w:rsidRPr="00100143" w14:paraId="7894189C"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0A38575F" w14:textId="1223C909"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CC in Ch</w:t>
            </w:r>
            <w:r w:rsidR="009933DC">
              <w:rPr>
                <w:rFonts w:ascii="Calibri" w:hAnsi="Calibri" w:cs="Calibri"/>
                <w:color w:val="000000"/>
                <w:kern w:val="24"/>
                <w:sz w:val="24"/>
              </w:rPr>
              <w:t>i</w:t>
            </w:r>
            <w:r w:rsidRPr="00100143">
              <w:rPr>
                <w:rFonts w:ascii="Calibri" w:hAnsi="Calibri" w:cs="Calibri"/>
                <w:color w:val="000000"/>
                <w:kern w:val="24"/>
                <w:sz w:val="24"/>
              </w:rPr>
              <w:t xml:space="preserve">ld </w:t>
            </w:r>
            <w:r w:rsidR="009933DC" w:rsidRPr="00100143">
              <w:rPr>
                <w:rFonts w:ascii="Calibri" w:hAnsi="Calibri" w:cs="Calibri"/>
                <w:color w:val="000000"/>
                <w:kern w:val="24"/>
                <w:sz w:val="24"/>
              </w:rPr>
              <w:t>Develop</w:t>
            </w:r>
            <w:r w:rsidR="009933DC">
              <w:rPr>
                <w:rFonts w:ascii="Calibri" w:hAnsi="Calibri" w:cs="Calibri"/>
                <w:color w:val="000000"/>
                <w:kern w:val="24"/>
                <w:sz w:val="24"/>
              </w:rPr>
              <w:t>m</w:t>
            </w:r>
            <w:r w:rsidR="009933DC" w:rsidRPr="00100143">
              <w:rPr>
                <w:rFonts w:ascii="Calibri" w:hAnsi="Calibri" w:cs="Calibri"/>
                <w:color w:val="000000"/>
                <w:kern w:val="24"/>
                <w:sz w:val="24"/>
              </w:rPr>
              <w:t>ent</w:t>
            </w:r>
            <w:r w:rsidRPr="00100143">
              <w:rPr>
                <w:rFonts w:ascii="Calibri" w:hAnsi="Calibri" w:cs="Calibri"/>
                <w:color w:val="000000"/>
                <w:kern w:val="24"/>
                <w:sz w:val="24"/>
              </w:rPr>
              <w:t xml:space="preserve"> Ass</w:t>
            </w:r>
            <w:r w:rsidR="009933DC">
              <w:rPr>
                <w:rFonts w:ascii="Calibri" w:hAnsi="Calibri" w:cs="Calibri"/>
                <w:color w:val="000000"/>
                <w:kern w:val="24"/>
                <w:sz w:val="24"/>
              </w:rPr>
              <w:t>istan</w:t>
            </w:r>
            <w:r w:rsidRPr="00100143">
              <w:rPr>
                <w:rFonts w:ascii="Calibri" w:hAnsi="Calibri" w:cs="Calibri"/>
                <w:color w:val="000000"/>
                <w:kern w:val="24"/>
                <w:sz w:val="24"/>
              </w:rPr>
              <w:t>t T</w:t>
            </w:r>
            <w:r w:rsidR="009933DC">
              <w:rPr>
                <w:rFonts w:ascii="Calibri" w:hAnsi="Calibri" w:cs="Calibri"/>
                <w:color w:val="000000"/>
                <w:kern w:val="24"/>
                <w:sz w:val="24"/>
              </w:rPr>
              <w:t>ea</w:t>
            </w:r>
            <w:r w:rsidRPr="00100143">
              <w:rPr>
                <w:rFonts w:ascii="Calibri" w:hAnsi="Calibri" w:cs="Calibri"/>
                <w:color w:val="000000"/>
                <w:kern w:val="24"/>
                <w:sz w:val="24"/>
              </w:rPr>
              <w:t>ch</w:t>
            </w:r>
            <w:r w:rsidR="009933DC">
              <w:rPr>
                <w:rFonts w:ascii="Calibri" w:hAnsi="Calibri" w:cs="Calibri"/>
                <w:color w:val="000000"/>
                <w:kern w:val="24"/>
                <w:sz w:val="24"/>
              </w:rPr>
              <w:t>e</w:t>
            </w:r>
            <w:r w:rsidRPr="00100143">
              <w:rPr>
                <w:rFonts w:ascii="Calibri" w:hAnsi="Calibri" w:cs="Calibri"/>
                <w:color w:val="000000"/>
                <w:kern w:val="24"/>
                <w:sz w:val="24"/>
              </w:rPr>
              <w:t>r</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2E7C7B54"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15</w:t>
            </w:r>
          </w:p>
        </w:tc>
      </w:tr>
      <w:tr w:rsidR="00527759" w:rsidRPr="00100143" w14:paraId="5CBDBE21"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6481035E" w14:textId="77777777"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CA in Associate Teacher ECEF</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446B202A"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14</w:t>
            </w:r>
          </w:p>
        </w:tc>
      </w:tr>
    </w:tbl>
    <w:p w14:paraId="7633CDC7" w14:textId="176D06A3" w:rsidR="00527759" w:rsidRPr="002E038F" w:rsidRDefault="00527759" w:rsidP="002E038F">
      <w:pPr>
        <w:pStyle w:val="NormalWeb"/>
        <w:spacing w:before="0" w:beforeAutospacing="0" w:after="0" w:afterAutospacing="0"/>
        <w:rPr>
          <w:rFonts w:asciiTheme="minorHAnsi" w:eastAsiaTheme="minorEastAsia" w:hAnsi="Calibri" w:cstheme="minorBidi"/>
          <w:i/>
          <w:iCs/>
          <w:color w:val="000000" w:themeColor="text1"/>
          <w:kern w:val="24"/>
          <w:sz w:val="20"/>
          <w:szCs w:val="20"/>
        </w:rPr>
      </w:pPr>
      <w:r w:rsidRPr="002E038F">
        <w:rPr>
          <w:rFonts w:asciiTheme="minorHAnsi" w:eastAsiaTheme="minorEastAsia" w:hAnsi="Calibri" w:cstheme="minorBidi"/>
          <w:i/>
          <w:iCs/>
          <w:color w:val="000000" w:themeColor="text1"/>
          <w:kern w:val="24"/>
          <w:sz w:val="20"/>
          <w:szCs w:val="20"/>
        </w:rPr>
        <w:t>Source: Taft College Office of Institutional Research and Planning</w:t>
      </w:r>
      <w:r w:rsidR="002E038F">
        <w:rPr>
          <w:rFonts w:asciiTheme="minorHAnsi" w:eastAsiaTheme="minorEastAsia" w:hAnsi="Calibri" w:cstheme="minorBidi"/>
          <w:i/>
          <w:iCs/>
          <w:color w:val="000000" w:themeColor="text1"/>
          <w:kern w:val="24"/>
          <w:sz w:val="20"/>
          <w:szCs w:val="20"/>
        </w:rPr>
        <w:t>.</w:t>
      </w:r>
    </w:p>
    <w:p w14:paraId="3C6A4AAC" w14:textId="77777777" w:rsidR="00527759" w:rsidRDefault="00527759" w:rsidP="00527759">
      <w:pPr>
        <w:spacing w:after="0"/>
        <w:contextualSpacing/>
        <w:rPr>
          <w:rFonts w:ascii="Times New Roman" w:hAnsi="Times New Roman"/>
          <w:sz w:val="28"/>
        </w:rPr>
      </w:pPr>
    </w:p>
    <w:p w14:paraId="54BF7A3B" w14:textId="547BE6D1" w:rsidR="00527759" w:rsidRDefault="00527759" w:rsidP="00527759">
      <w:pPr>
        <w:spacing w:after="0"/>
        <w:contextualSpacing/>
        <w:rPr>
          <w:rFonts w:eastAsiaTheme="minorEastAsia" w:hAnsi="Calibri"/>
          <w:color w:val="000000" w:themeColor="text1"/>
          <w:kern w:val="24"/>
        </w:rPr>
      </w:pPr>
      <w:r w:rsidRPr="00100143">
        <w:rPr>
          <w:rFonts w:eastAsiaTheme="minorEastAsia" w:hAnsi="Calibri"/>
          <w:color w:val="000000" w:themeColor="text1"/>
          <w:kern w:val="24"/>
        </w:rPr>
        <w:t xml:space="preserve">The most frequently bestowed Taft College award in the 2023-2024 Academic Year was </w:t>
      </w:r>
      <w:r w:rsidR="009933DC">
        <w:rPr>
          <w:rFonts w:eastAsiaTheme="minorEastAsia" w:hAnsi="Calibri"/>
          <w:color w:val="000000" w:themeColor="text1"/>
          <w:kern w:val="24"/>
        </w:rPr>
        <w:t xml:space="preserve">the </w:t>
      </w:r>
      <w:r w:rsidRPr="00100143">
        <w:rPr>
          <w:rFonts w:eastAsiaTheme="minorEastAsia" w:hAnsi="Calibri"/>
          <w:color w:val="000000" w:themeColor="text1"/>
          <w:kern w:val="24"/>
        </w:rPr>
        <w:t>“Certificate in CSU General Education</w:t>
      </w:r>
      <w:r w:rsidR="009933DC">
        <w:rPr>
          <w:rFonts w:eastAsiaTheme="minorEastAsia" w:hAnsi="Calibri"/>
          <w:color w:val="000000" w:themeColor="text1"/>
          <w:kern w:val="24"/>
        </w:rPr>
        <w:t>.”</w:t>
      </w:r>
    </w:p>
    <w:p w14:paraId="50C109CA" w14:textId="77777777" w:rsidR="00527759" w:rsidRPr="00100143" w:rsidRDefault="00527759" w:rsidP="00527759">
      <w:pPr>
        <w:spacing w:after="0"/>
        <w:contextualSpacing/>
        <w:rPr>
          <w:rFonts w:ascii="Times New Roman" w:hAnsi="Times New Roman"/>
        </w:rPr>
      </w:pPr>
    </w:p>
    <w:p w14:paraId="18A17ADA" w14:textId="77777777" w:rsidR="00527759" w:rsidRDefault="00527759" w:rsidP="00527759">
      <w:pPr>
        <w:spacing w:after="0"/>
        <w:contextualSpacing/>
        <w:rPr>
          <w:rFonts w:eastAsiaTheme="minorEastAsia" w:hAnsi="Calibri"/>
          <w:color w:val="000000" w:themeColor="text1"/>
          <w:kern w:val="24"/>
        </w:rPr>
      </w:pPr>
      <w:r w:rsidRPr="00100143">
        <w:rPr>
          <w:rFonts w:eastAsiaTheme="minorEastAsia" w:hAnsi="Calibri"/>
          <w:color w:val="000000" w:themeColor="text1"/>
          <w:kern w:val="24"/>
        </w:rPr>
        <w:t>The most popular Associate of Arts degree majors are in the Liberal Arts (Math &amp; Science, Allied Health, Communication Business)</w:t>
      </w:r>
      <w:r>
        <w:rPr>
          <w:rFonts w:eastAsiaTheme="minorEastAsia" w:hAnsi="Calibri"/>
          <w:color w:val="000000" w:themeColor="text1"/>
          <w:kern w:val="24"/>
        </w:rPr>
        <w:t>.</w:t>
      </w:r>
    </w:p>
    <w:p w14:paraId="05F2C954" w14:textId="77777777" w:rsidR="00527759" w:rsidRPr="00100143" w:rsidRDefault="00527759" w:rsidP="00527759">
      <w:pPr>
        <w:spacing w:after="0"/>
        <w:contextualSpacing/>
        <w:rPr>
          <w:rFonts w:ascii="Times New Roman" w:hAnsi="Times New Roman"/>
        </w:rPr>
      </w:pPr>
    </w:p>
    <w:p w14:paraId="4E223D9C" w14:textId="64F78AF0" w:rsidR="00527759" w:rsidRDefault="00527759" w:rsidP="00527759">
      <w:pPr>
        <w:spacing w:after="0"/>
        <w:contextualSpacing/>
        <w:rPr>
          <w:rFonts w:eastAsiaTheme="minorEastAsia" w:hAnsi="Calibri"/>
          <w:color w:val="000000" w:themeColor="text1"/>
          <w:kern w:val="24"/>
        </w:rPr>
      </w:pPr>
      <w:r w:rsidRPr="00100143">
        <w:rPr>
          <w:rFonts w:eastAsiaTheme="minorEastAsia" w:hAnsi="Calibri"/>
          <w:color w:val="000000" w:themeColor="text1"/>
          <w:kern w:val="24"/>
        </w:rPr>
        <w:t>The most popular Associate of Science degree majors are Life Sciences, Criminal Justice</w:t>
      </w:r>
      <w:r w:rsidR="009933DC">
        <w:rPr>
          <w:rFonts w:eastAsiaTheme="minorEastAsia" w:hAnsi="Calibri"/>
          <w:color w:val="000000" w:themeColor="text1"/>
          <w:kern w:val="24"/>
        </w:rPr>
        <w:t>,</w:t>
      </w:r>
      <w:r w:rsidRPr="00100143">
        <w:rPr>
          <w:rFonts w:eastAsiaTheme="minorEastAsia" w:hAnsi="Calibri"/>
          <w:color w:val="000000" w:themeColor="text1"/>
          <w:kern w:val="24"/>
        </w:rPr>
        <w:t xml:space="preserve"> and Dental Hygiene</w:t>
      </w:r>
      <w:r>
        <w:rPr>
          <w:rFonts w:eastAsiaTheme="minorEastAsia" w:hAnsi="Calibri"/>
          <w:color w:val="000000" w:themeColor="text1"/>
          <w:kern w:val="24"/>
        </w:rPr>
        <w:t>.</w:t>
      </w:r>
    </w:p>
    <w:p w14:paraId="12A255F4" w14:textId="77777777" w:rsidR="00527759" w:rsidRPr="00100143" w:rsidRDefault="00527759" w:rsidP="00527759">
      <w:pPr>
        <w:spacing w:after="0"/>
        <w:contextualSpacing/>
        <w:rPr>
          <w:rFonts w:ascii="Times New Roman" w:hAnsi="Times New Roman"/>
        </w:rPr>
      </w:pPr>
    </w:p>
    <w:p w14:paraId="78C821AB" w14:textId="77777777" w:rsidR="00527759" w:rsidRPr="00100143" w:rsidRDefault="00527759" w:rsidP="00527759">
      <w:pPr>
        <w:spacing w:after="0"/>
        <w:contextualSpacing/>
        <w:rPr>
          <w:rFonts w:ascii="Times New Roman" w:hAnsi="Times New Roman"/>
        </w:rPr>
      </w:pPr>
      <w:r w:rsidRPr="00100143">
        <w:rPr>
          <w:rFonts w:eastAsiaTheme="minorEastAsia" w:hAnsi="Calibri"/>
          <w:color w:val="000000" w:themeColor="text1"/>
          <w:kern w:val="24"/>
        </w:rPr>
        <w:t>Notably, there are two popular Associate Degree for Transfer majors, Psychology and Sociology</w:t>
      </w:r>
      <w:r>
        <w:rPr>
          <w:rFonts w:eastAsiaTheme="minorEastAsia" w:hAnsi="Calibri"/>
          <w:color w:val="000000" w:themeColor="text1"/>
          <w:kern w:val="24"/>
        </w:rPr>
        <w:t>.</w:t>
      </w:r>
    </w:p>
    <w:p w14:paraId="30C08785" w14:textId="77777777" w:rsidR="00527759" w:rsidRDefault="00527759" w:rsidP="00527759">
      <w:pPr>
        <w:spacing w:after="0"/>
        <w:contextualSpacing/>
        <w:rPr>
          <w:rFonts w:ascii="Times New Roman" w:hAnsi="Times New Roman"/>
          <w:sz w:val="28"/>
        </w:rPr>
      </w:pPr>
    </w:p>
    <w:p w14:paraId="651BD075" w14:textId="77777777" w:rsidR="00527759" w:rsidRDefault="00527759" w:rsidP="00527759">
      <w:pPr>
        <w:rPr>
          <w:rFonts w:ascii="Calibri" w:eastAsia="DengXian Light" w:hAnsi="Calibri" w:cs="Calibri"/>
          <w:b/>
          <w:bCs/>
          <w:color w:val="FF9900"/>
          <w:sz w:val="28"/>
          <w:szCs w:val="28"/>
        </w:rPr>
      </w:pPr>
      <w:r>
        <w:br w:type="page"/>
      </w:r>
    </w:p>
    <w:p w14:paraId="7718FBDB" w14:textId="21C17BD5" w:rsidR="00527759" w:rsidRDefault="00527759" w:rsidP="00F16EFC">
      <w:pPr>
        <w:rPr>
          <w:i/>
          <w:iCs/>
        </w:rPr>
      </w:pPr>
      <w:bookmarkStart w:id="244" w:name="_Toc194324271"/>
      <w:r w:rsidRPr="00C453FB">
        <w:lastRenderedPageBreak/>
        <w:t xml:space="preserve">Location Origins, 2023-2024 </w:t>
      </w:r>
      <w:r w:rsidRPr="00C453FB">
        <w:rPr>
          <w:i/>
          <w:iCs/>
        </w:rPr>
        <w:t xml:space="preserve">(excludes </w:t>
      </w:r>
      <w:r w:rsidR="00CE7648">
        <w:rPr>
          <w:i/>
          <w:iCs/>
        </w:rPr>
        <w:t>WESTEC</w:t>
      </w:r>
      <w:r w:rsidRPr="00C453FB">
        <w:rPr>
          <w:i/>
          <w:iCs/>
        </w:rPr>
        <w:t>)</w:t>
      </w:r>
      <w:bookmarkEnd w:id="244"/>
    </w:p>
    <w:p w14:paraId="6D603782" w14:textId="77777777" w:rsidR="001509DE" w:rsidRPr="001509DE" w:rsidRDefault="001509DE" w:rsidP="00304503"/>
    <w:p w14:paraId="1482FB38" w14:textId="77777777" w:rsidR="00527759" w:rsidRDefault="00527759" w:rsidP="00304503">
      <w:pPr>
        <w:rPr>
          <w:rFonts w:ascii="Calibri" w:eastAsia="DengXian Light" w:hAnsi="Calibri" w:cs="Calibri"/>
          <w:color w:val="FF9900"/>
          <w:sz w:val="28"/>
          <w:szCs w:val="28"/>
        </w:rPr>
      </w:pPr>
      <w:r>
        <w:rPr>
          <w:noProof/>
        </w:rPr>
        <w:drawing>
          <wp:inline distT="0" distB="0" distL="0" distR="0" wp14:anchorId="304F4F5E" wp14:editId="6DA4A323">
            <wp:extent cx="6400800" cy="3618230"/>
            <wp:effectExtent l="0" t="0" r="0" b="1270"/>
            <wp:docPr id="1883942143" name="Content Placeholder 4">
              <a:extLst xmlns:a="http://schemas.openxmlformats.org/drawingml/2006/main">
                <a:ext uri="{FF2B5EF4-FFF2-40B4-BE49-F238E27FC236}">
                  <a16:creationId xmlns:a16="http://schemas.microsoft.com/office/drawing/2014/main" id="{F2C90E05-C12D-892E-7EDA-6C1CDBD2B62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F2C90E05-C12D-892E-7EDA-6C1CDBD2B62A}"/>
                        </a:ext>
                      </a:extLst>
                    </pic:cNvPr>
                    <pic:cNvPicPr>
                      <a:picLocks noGrp="1" noChangeAspect="1"/>
                    </pic:cNvPicPr>
                  </pic:nvPicPr>
                  <pic:blipFill>
                    <a:blip r:embed="rId88"/>
                    <a:stretch>
                      <a:fillRect/>
                    </a:stretch>
                  </pic:blipFill>
                  <pic:spPr>
                    <a:xfrm>
                      <a:off x="0" y="0"/>
                      <a:ext cx="6400800" cy="3618230"/>
                    </a:xfrm>
                    <a:prstGeom prst="rect">
                      <a:avLst/>
                    </a:prstGeom>
                  </pic:spPr>
                </pic:pic>
              </a:graphicData>
            </a:graphic>
          </wp:inline>
        </w:drawing>
      </w:r>
    </w:p>
    <w:p w14:paraId="7FEC5427" w14:textId="4CA44CBE" w:rsidR="00527759" w:rsidRPr="009933DC" w:rsidRDefault="00527759" w:rsidP="00304503">
      <w:pPr>
        <w:rPr>
          <w:rFonts w:eastAsiaTheme="minorEastAsia"/>
          <w:i/>
          <w:iCs/>
          <w:sz w:val="20"/>
          <w:szCs w:val="20"/>
        </w:rPr>
      </w:pPr>
      <w:r w:rsidRPr="009933DC">
        <w:rPr>
          <w:rFonts w:eastAsiaTheme="minorEastAsia"/>
          <w:i/>
          <w:iCs/>
          <w:sz w:val="20"/>
          <w:szCs w:val="20"/>
        </w:rPr>
        <w:t>Source: Taft College Office of Institutional Research and Planning</w:t>
      </w:r>
      <w:r w:rsidR="002E038F">
        <w:rPr>
          <w:rFonts w:eastAsiaTheme="minorEastAsia"/>
          <w:i/>
          <w:iCs/>
          <w:sz w:val="20"/>
          <w:szCs w:val="20"/>
        </w:rPr>
        <w:t>.</w:t>
      </w:r>
    </w:p>
    <w:p w14:paraId="286560F1" w14:textId="77777777" w:rsidR="00527759" w:rsidRPr="00C671A9" w:rsidRDefault="00527759" w:rsidP="00527759">
      <w:pPr>
        <w:spacing w:after="0"/>
        <w:contextualSpacing/>
        <w:rPr>
          <w:rFonts w:ascii="Times New Roman" w:hAnsi="Times New Roman"/>
          <w:sz w:val="28"/>
        </w:rPr>
      </w:pPr>
    </w:p>
    <w:p w14:paraId="5444D24B" w14:textId="56ADE82E" w:rsidR="00527759" w:rsidRDefault="00527759" w:rsidP="00527759">
      <w:pPr>
        <w:spacing w:after="0"/>
        <w:contextualSpacing/>
        <w:rPr>
          <w:rFonts w:eastAsiaTheme="minorEastAsia" w:hAnsi="Calibri"/>
          <w:color w:val="000000" w:themeColor="text1"/>
          <w:kern w:val="24"/>
        </w:rPr>
      </w:pPr>
      <w:r w:rsidRPr="000B3D7F">
        <w:rPr>
          <w:rFonts w:eastAsiaTheme="minorEastAsia" w:hAnsi="Calibri"/>
          <w:color w:val="000000" w:themeColor="text1"/>
          <w:kern w:val="24"/>
        </w:rPr>
        <w:t xml:space="preserve">The preponderance of Taft students </w:t>
      </w:r>
      <w:r w:rsidR="009933DC">
        <w:rPr>
          <w:rFonts w:eastAsiaTheme="minorEastAsia" w:hAnsi="Calibri"/>
          <w:color w:val="000000" w:themeColor="text1"/>
          <w:kern w:val="24"/>
        </w:rPr>
        <w:t>are</w:t>
      </w:r>
      <w:r w:rsidRPr="000B3D7F">
        <w:rPr>
          <w:rFonts w:eastAsiaTheme="minorEastAsia" w:hAnsi="Calibri"/>
          <w:color w:val="000000" w:themeColor="text1"/>
          <w:kern w:val="24"/>
        </w:rPr>
        <w:t xml:space="preserve"> from Bakersfield</w:t>
      </w:r>
      <w:r>
        <w:rPr>
          <w:rFonts w:eastAsiaTheme="minorEastAsia" w:hAnsi="Calibri"/>
          <w:color w:val="000000" w:themeColor="text1"/>
          <w:kern w:val="24"/>
        </w:rPr>
        <w:t>.</w:t>
      </w:r>
    </w:p>
    <w:p w14:paraId="6F4471CB" w14:textId="77777777" w:rsidR="00527759" w:rsidRPr="000B3D7F" w:rsidRDefault="00527759" w:rsidP="00527759">
      <w:pPr>
        <w:spacing w:after="0"/>
        <w:contextualSpacing/>
        <w:rPr>
          <w:rFonts w:ascii="Times New Roman" w:hAnsi="Times New Roman"/>
        </w:rPr>
      </w:pPr>
    </w:p>
    <w:p w14:paraId="2FCE5DD3" w14:textId="3FC864A5" w:rsidR="00527759" w:rsidRDefault="00527759" w:rsidP="00527759">
      <w:pPr>
        <w:spacing w:after="0"/>
        <w:contextualSpacing/>
        <w:rPr>
          <w:rFonts w:eastAsiaTheme="minorEastAsia" w:hAnsi="Calibri"/>
          <w:color w:val="000000" w:themeColor="text1"/>
          <w:kern w:val="24"/>
        </w:rPr>
      </w:pPr>
      <w:r w:rsidRPr="000B3D7F">
        <w:rPr>
          <w:rFonts w:eastAsiaTheme="minorEastAsia" w:hAnsi="Calibri"/>
          <w:color w:val="000000" w:themeColor="text1"/>
          <w:kern w:val="24"/>
        </w:rPr>
        <w:t xml:space="preserve">The second largest student group by </w:t>
      </w:r>
      <w:r w:rsidR="009933DC">
        <w:rPr>
          <w:rFonts w:eastAsiaTheme="minorEastAsia" w:hAnsi="Calibri"/>
          <w:color w:val="000000" w:themeColor="text1"/>
          <w:kern w:val="24"/>
        </w:rPr>
        <w:t xml:space="preserve">the </w:t>
      </w:r>
      <w:r w:rsidRPr="000B3D7F">
        <w:rPr>
          <w:rFonts w:eastAsiaTheme="minorEastAsia" w:hAnsi="Calibri"/>
          <w:color w:val="000000" w:themeColor="text1"/>
          <w:kern w:val="24"/>
        </w:rPr>
        <w:t>town is from Taft, followed by Shafter, Wasco</w:t>
      </w:r>
      <w:r w:rsidR="009933DC">
        <w:rPr>
          <w:rFonts w:eastAsiaTheme="minorEastAsia" w:hAnsi="Calibri"/>
          <w:color w:val="000000" w:themeColor="text1"/>
          <w:kern w:val="24"/>
        </w:rPr>
        <w:t>,</w:t>
      </w:r>
      <w:r w:rsidRPr="000B3D7F">
        <w:rPr>
          <w:rFonts w:eastAsiaTheme="minorEastAsia" w:hAnsi="Calibri"/>
          <w:color w:val="000000" w:themeColor="text1"/>
          <w:kern w:val="24"/>
        </w:rPr>
        <w:t xml:space="preserve"> and Arvin</w:t>
      </w:r>
      <w:r>
        <w:rPr>
          <w:rFonts w:eastAsiaTheme="minorEastAsia" w:hAnsi="Calibri"/>
          <w:color w:val="000000" w:themeColor="text1"/>
          <w:kern w:val="24"/>
        </w:rPr>
        <w:t>.</w:t>
      </w:r>
    </w:p>
    <w:p w14:paraId="1AF242D8" w14:textId="77777777" w:rsidR="00527759" w:rsidRPr="000B3D7F" w:rsidRDefault="00527759" w:rsidP="00527759">
      <w:pPr>
        <w:spacing w:after="0"/>
        <w:contextualSpacing/>
        <w:rPr>
          <w:rFonts w:ascii="Times New Roman" w:hAnsi="Times New Roman"/>
        </w:rPr>
      </w:pPr>
    </w:p>
    <w:p w14:paraId="5AFB0E1E" w14:textId="77777777" w:rsidR="00527759" w:rsidRPr="000B3D7F" w:rsidRDefault="00527759" w:rsidP="00527759">
      <w:pPr>
        <w:spacing w:after="0"/>
        <w:contextualSpacing/>
        <w:rPr>
          <w:rFonts w:ascii="Times New Roman" w:hAnsi="Times New Roman"/>
        </w:rPr>
      </w:pPr>
      <w:r w:rsidRPr="000B3D7F">
        <w:rPr>
          <w:rFonts w:eastAsiaTheme="minorEastAsia" w:hAnsi="Calibri"/>
          <w:color w:val="000000" w:themeColor="text1"/>
          <w:kern w:val="24"/>
        </w:rPr>
        <w:t>The high school sending the greatest number of students to Taft College is Taft High School, followed by Ridgeview, Stockdale and Shafter high schools</w:t>
      </w:r>
      <w:r>
        <w:rPr>
          <w:rFonts w:eastAsiaTheme="minorEastAsia" w:hAnsi="Calibri"/>
          <w:color w:val="000000" w:themeColor="text1"/>
          <w:kern w:val="24"/>
        </w:rPr>
        <w:t>.</w:t>
      </w:r>
    </w:p>
    <w:p w14:paraId="6C5970D5" w14:textId="77777777" w:rsidR="00527759" w:rsidRDefault="00527759" w:rsidP="00527759">
      <w:pPr>
        <w:rPr>
          <w:rFonts w:ascii="Calibri" w:eastAsia="DengXian Light" w:hAnsi="Calibri" w:cs="Calibri"/>
          <w:b/>
          <w:bCs/>
          <w:color w:val="FF9900"/>
          <w:sz w:val="28"/>
          <w:szCs w:val="28"/>
        </w:rPr>
      </w:pPr>
      <w:r>
        <w:br w:type="page"/>
      </w:r>
    </w:p>
    <w:p w14:paraId="3E4A96B6" w14:textId="3839349A" w:rsidR="00527759" w:rsidRDefault="00527759" w:rsidP="00F16EFC">
      <w:pPr>
        <w:rPr>
          <w:i/>
          <w:iCs/>
        </w:rPr>
      </w:pPr>
      <w:bookmarkStart w:id="245" w:name="_Toc194324272"/>
      <w:r>
        <w:lastRenderedPageBreak/>
        <w:t xml:space="preserve">Enrollment by ZIP Code </w:t>
      </w:r>
      <w:r w:rsidRPr="00817732">
        <w:rPr>
          <w:i/>
          <w:iCs/>
        </w:rPr>
        <w:t xml:space="preserve">(excludes </w:t>
      </w:r>
      <w:r w:rsidR="00CE7648">
        <w:rPr>
          <w:i/>
          <w:iCs/>
        </w:rPr>
        <w:t>WESTEC</w:t>
      </w:r>
      <w:r w:rsidRPr="00817732">
        <w:rPr>
          <w:i/>
          <w:iCs/>
        </w:rPr>
        <w:t>)</w:t>
      </w:r>
      <w:bookmarkEnd w:id="245"/>
    </w:p>
    <w:p w14:paraId="71EA6D8A" w14:textId="77777777" w:rsidR="001509DE" w:rsidRPr="001509DE" w:rsidRDefault="001509DE" w:rsidP="001509DE"/>
    <w:tbl>
      <w:tblPr>
        <w:tblW w:w="7840" w:type="dxa"/>
        <w:jc w:val="center"/>
        <w:tblCellMar>
          <w:left w:w="0" w:type="dxa"/>
          <w:right w:w="0" w:type="dxa"/>
        </w:tblCellMar>
        <w:tblLook w:val="0420" w:firstRow="1" w:lastRow="0" w:firstColumn="0" w:lastColumn="0" w:noHBand="0" w:noVBand="1"/>
      </w:tblPr>
      <w:tblGrid>
        <w:gridCol w:w="3920"/>
        <w:gridCol w:w="3920"/>
      </w:tblGrid>
      <w:tr w:rsidR="00527759" w:rsidRPr="00DF6175" w14:paraId="152A241D" w14:textId="77777777" w:rsidTr="00B13ECD">
        <w:trPr>
          <w:trHeight w:val="259"/>
          <w:jc w:val="center"/>
        </w:trPr>
        <w:tc>
          <w:tcPr>
            <w:tcW w:w="3920" w:type="dxa"/>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14:paraId="4E849D5B" w14:textId="77777777" w:rsidR="00527759" w:rsidRPr="00DF6175" w:rsidRDefault="00527759" w:rsidP="00B13ECD">
            <w:pPr>
              <w:spacing w:after="0"/>
              <w:jc w:val="center"/>
              <w:rPr>
                <w:rFonts w:ascii="Arial" w:hAnsi="Arial" w:cs="Arial"/>
                <w:sz w:val="24"/>
              </w:rPr>
            </w:pPr>
            <w:r w:rsidRPr="00DF6175">
              <w:rPr>
                <w:rFonts w:ascii="Calibri" w:hAnsi="Calibri" w:cs="Calibri"/>
                <w:b/>
                <w:bCs/>
                <w:color w:val="FFFFFF" w:themeColor="light1"/>
                <w:kern w:val="24"/>
                <w:sz w:val="24"/>
              </w:rPr>
              <w:t>Location (based on ZIP code of residence)</w:t>
            </w:r>
          </w:p>
        </w:tc>
        <w:tc>
          <w:tcPr>
            <w:tcW w:w="3920" w:type="dxa"/>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14:paraId="509592B6" w14:textId="77777777" w:rsidR="00527759" w:rsidRPr="00DF6175" w:rsidRDefault="00527759" w:rsidP="00B13ECD">
            <w:pPr>
              <w:spacing w:after="0"/>
              <w:jc w:val="center"/>
              <w:rPr>
                <w:rFonts w:ascii="Arial" w:hAnsi="Arial" w:cs="Arial"/>
                <w:sz w:val="24"/>
              </w:rPr>
            </w:pPr>
            <w:r w:rsidRPr="00DF6175">
              <w:rPr>
                <w:rFonts w:ascii="Calibri" w:hAnsi="Calibri" w:cs="Calibri"/>
                <w:b/>
                <w:bCs/>
                <w:color w:val="FFFFFF" w:themeColor="light1"/>
                <w:kern w:val="24"/>
                <w:sz w:val="24"/>
              </w:rPr>
              <w:t xml:space="preserve"> % of Headcount in AY 2023-2024</w:t>
            </w:r>
          </w:p>
        </w:tc>
      </w:tr>
      <w:tr w:rsidR="00527759" w:rsidRPr="00DF6175" w14:paraId="40760592" w14:textId="77777777" w:rsidTr="00B13ECD">
        <w:trPr>
          <w:trHeight w:val="259"/>
          <w:jc w:val="center"/>
        </w:trPr>
        <w:tc>
          <w:tcPr>
            <w:tcW w:w="3920" w:type="dxa"/>
            <w:tcBorders>
              <w:top w:val="single" w:sz="24"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0CB837C4" w14:textId="77777777" w:rsidR="00527759" w:rsidRPr="00DF6175" w:rsidRDefault="00527759" w:rsidP="00B13ECD">
            <w:pPr>
              <w:spacing w:after="0"/>
              <w:rPr>
                <w:rFonts w:ascii="Arial" w:hAnsi="Arial" w:cs="Arial"/>
                <w:sz w:val="24"/>
              </w:rPr>
            </w:pPr>
            <w:r w:rsidRPr="00DF6175">
              <w:rPr>
                <w:rFonts w:ascii="Calibri" w:hAnsi="Calibri" w:cs="Calibri"/>
                <w:color w:val="000000" w:themeColor="dark1"/>
                <w:kern w:val="24"/>
                <w:sz w:val="24"/>
              </w:rPr>
              <w:t>Bakersfield</w:t>
            </w:r>
          </w:p>
        </w:tc>
        <w:tc>
          <w:tcPr>
            <w:tcW w:w="3920" w:type="dxa"/>
            <w:tcBorders>
              <w:top w:val="single" w:sz="24"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12401BC5" w14:textId="77777777" w:rsidR="00527759" w:rsidRPr="00DF6175" w:rsidRDefault="00527759" w:rsidP="00B13ECD">
            <w:pPr>
              <w:spacing w:after="0"/>
              <w:jc w:val="center"/>
              <w:rPr>
                <w:rFonts w:ascii="Arial" w:hAnsi="Arial" w:cs="Arial"/>
                <w:sz w:val="24"/>
              </w:rPr>
            </w:pPr>
            <w:r w:rsidRPr="00DF6175">
              <w:rPr>
                <w:rFonts w:ascii="Calibri" w:hAnsi="Calibri" w:cs="Calibri"/>
                <w:color w:val="000000" w:themeColor="dark1"/>
                <w:kern w:val="24"/>
                <w:sz w:val="24"/>
              </w:rPr>
              <w:t>55.0%</w:t>
            </w:r>
          </w:p>
        </w:tc>
      </w:tr>
      <w:tr w:rsidR="00527759" w:rsidRPr="00DF6175" w14:paraId="06FEA521" w14:textId="77777777" w:rsidTr="00B13ECD">
        <w:trPr>
          <w:trHeight w:val="259"/>
          <w:jc w:val="center"/>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0AC083F0" w14:textId="77777777" w:rsidR="00527759" w:rsidRPr="00DF6175" w:rsidRDefault="00527759" w:rsidP="00B13ECD">
            <w:pPr>
              <w:spacing w:after="0"/>
              <w:rPr>
                <w:rFonts w:ascii="Arial" w:hAnsi="Arial" w:cs="Arial"/>
                <w:sz w:val="24"/>
              </w:rPr>
            </w:pPr>
            <w:r w:rsidRPr="00DF6175">
              <w:rPr>
                <w:rFonts w:ascii="Calibri" w:hAnsi="Calibri" w:cs="Calibri"/>
                <w:color w:val="000000" w:themeColor="dark1"/>
                <w:kern w:val="24"/>
                <w:sz w:val="24"/>
              </w:rPr>
              <w:t>Taft</w:t>
            </w:r>
          </w:p>
        </w:tc>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1692561F" w14:textId="77777777" w:rsidR="00527759" w:rsidRPr="00DF6175" w:rsidRDefault="00527759" w:rsidP="00B13ECD">
            <w:pPr>
              <w:spacing w:after="0"/>
              <w:jc w:val="center"/>
              <w:rPr>
                <w:rFonts w:ascii="Arial" w:hAnsi="Arial" w:cs="Arial"/>
                <w:sz w:val="24"/>
              </w:rPr>
            </w:pPr>
            <w:r w:rsidRPr="00DF6175">
              <w:rPr>
                <w:rFonts w:ascii="Calibri" w:hAnsi="Calibri" w:cs="Calibri"/>
                <w:color w:val="000000" w:themeColor="dark1"/>
                <w:kern w:val="24"/>
                <w:sz w:val="24"/>
              </w:rPr>
              <w:t>19.8%</w:t>
            </w:r>
          </w:p>
        </w:tc>
      </w:tr>
      <w:tr w:rsidR="00527759" w:rsidRPr="00DF6175" w14:paraId="71ECFC4B" w14:textId="77777777" w:rsidTr="00B13ECD">
        <w:trPr>
          <w:trHeight w:val="259"/>
          <w:jc w:val="center"/>
        </w:trPr>
        <w:tc>
          <w:tcPr>
            <w:tcW w:w="3920"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72118980" w14:textId="77777777" w:rsidR="00527759" w:rsidRPr="00DF6175" w:rsidRDefault="00527759" w:rsidP="00B13ECD">
            <w:pPr>
              <w:spacing w:after="0"/>
              <w:rPr>
                <w:rFonts w:ascii="Arial" w:hAnsi="Arial" w:cs="Arial"/>
                <w:sz w:val="24"/>
              </w:rPr>
            </w:pPr>
            <w:r w:rsidRPr="00DF6175">
              <w:rPr>
                <w:rFonts w:ascii="Calibri" w:hAnsi="Calibri" w:cs="Calibri"/>
                <w:color w:val="000000" w:themeColor="dark1"/>
                <w:kern w:val="24"/>
                <w:sz w:val="24"/>
              </w:rPr>
              <w:t>17 other regional towns</w:t>
            </w:r>
          </w:p>
        </w:tc>
        <w:tc>
          <w:tcPr>
            <w:tcW w:w="3920"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25D4DB47" w14:textId="77777777" w:rsidR="00527759" w:rsidRPr="00DF6175" w:rsidRDefault="00527759" w:rsidP="00B13ECD">
            <w:pPr>
              <w:spacing w:after="0"/>
              <w:jc w:val="center"/>
              <w:rPr>
                <w:rFonts w:ascii="Arial" w:hAnsi="Arial" w:cs="Arial"/>
                <w:sz w:val="24"/>
              </w:rPr>
            </w:pPr>
            <w:r w:rsidRPr="00DF6175">
              <w:rPr>
                <w:rFonts w:ascii="Calibri" w:hAnsi="Calibri" w:cs="Calibri"/>
                <w:color w:val="000000" w:themeColor="dark1"/>
                <w:kern w:val="24"/>
                <w:sz w:val="24"/>
              </w:rPr>
              <w:t>17.1%</w:t>
            </w:r>
          </w:p>
        </w:tc>
      </w:tr>
      <w:tr w:rsidR="00527759" w:rsidRPr="00DF6175" w14:paraId="7436BE8F" w14:textId="77777777" w:rsidTr="00B13ECD">
        <w:trPr>
          <w:trHeight w:val="259"/>
          <w:jc w:val="center"/>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2B97D0B8" w14:textId="77777777" w:rsidR="00527759" w:rsidRPr="00DF6175" w:rsidRDefault="00527759" w:rsidP="00B13ECD">
            <w:pPr>
              <w:spacing w:after="0"/>
              <w:rPr>
                <w:rFonts w:ascii="Arial" w:hAnsi="Arial" w:cs="Arial"/>
                <w:sz w:val="24"/>
              </w:rPr>
            </w:pPr>
            <w:r w:rsidRPr="00DF6175">
              <w:rPr>
                <w:rFonts w:ascii="Calibri" w:hAnsi="Calibri" w:cs="Calibri"/>
                <w:color w:val="000000" w:themeColor="dark1"/>
                <w:kern w:val="24"/>
                <w:sz w:val="24"/>
              </w:rPr>
              <w:t>Other California</w:t>
            </w:r>
          </w:p>
        </w:tc>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7A2EE5E7" w14:textId="77777777" w:rsidR="00527759" w:rsidRPr="00DF6175" w:rsidRDefault="00527759" w:rsidP="00B13ECD">
            <w:pPr>
              <w:spacing w:after="0"/>
              <w:jc w:val="center"/>
              <w:rPr>
                <w:rFonts w:ascii="Arial" w:hAnsi="Arial" w:cs="Arial"/>
                <w:sz w:val="24"/>
              </w:rPr>
            </w:pPr>
            <w:r w:rsidRPr="00DF6175">
              <w:rPr>
                <w:rFonts w:ascii="Calibri" w:hAnsi="Calibri" w:cs="Calibri"/>
                <w:color w:val="000000" w:themeColor="dark1"/>
                <w:kern w:val="24"/>
                <w:sz w:val="24"/>
              </w:rPr>
              <w:t>6.0%</w:t>
            </w:r>
          </w:p>
        </w:tc>
      </w:tr>
      <w:tr w:rsidR="00527759" w:rsidRPr="00DF6175" w14:paraId="1B4AF620" w14:textId="77777777" w:rsidTr="00B13ECD">
        <w:trPr>
          <w:trHeight w:val="259"/>
          <w:jc w:val="center"/>
        </w:trPr>
        <w:tc>
          <w:tcPr>
            <w:tcW w:w="3920"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733966A9" w14:textId="77777777" w:rsidR="00527759" w:rsidRPr="00DF6175" w:rsidRDefault="00527759" w:rsidP="00B13ECD">
            <w:pPr>
              <w:spacing w:after="0"/>
              <w:rPr>
                <w:rFonts w:ascii="Arial" w:hAnsi="Arial" w:cs="Arial"/>
                <w:sz w:val="24"/>
              </w:rPr>
            </w:pPr>
            <w:r w:rsidRPr="00DF6175">
              <w:rPr>
                <w:rFonts w:ascii="Calibri" w:hAnsi="Calibri" w:cs="Calibri"/>
                <w:color w:val="000000" w:themeColor="dark1"/>
                <w:kern w:val="24"/>
                <w:sz w:val="24"/>
              </w:rPr>
              <w:t>Out of State</w:t>
            </w:r>
          </w:p>
        </w:tc>
        <w:tc>
          <w:tcPr>
            <w:tcW w:w="3920"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7C246531" w14:textId="77777777" w:rsidR="00527759" w:rsidRPr="00DF6175" w:rsidRDefault="00527759" w:rsidP="00B13ECD">
            <w:pPr>
              <w:spacing w:after="0"/>
              <w:jc w:val="center"/>
              <w:rPr>
                <w:rFonts w:ascii="Arial" w:hAnsi="Arial" w:cs="Arial"/>
                <w:sz w:val="24"/>
              </w:rPr>
            </w:pPr>
            <w:r w:rsidRPr="00DF6175">
              <w:rPr>
                <w:rFonts w:ascii="Calibri" w:hAnsi="Calibri" w:cs="Calibri"/>
                <w:color w:val="000000" w:themeColor="dark1"/>
                <w:kern w:val="24"/>
                <w:sz w:val="24"/>
              </w:rPr>
              <w:t>1.6%</w:t>
            </w:r>
          </w:p>
        </w:tc>
      </w:tr>
      <w:tr w:rsidR="00527759" w:rsidRPr="00DF6175" w14:paraId="24A7A76A" w14:textId="77777777" w:rsidTr="00B13ECD">
        <w:trPr>
          <w:trHeight w:val="259"/>
          <w:jc w:val="center"/>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25D0DDB4" w14:textId="77777777" w:rsidR="00527759" w:rsidRPr="00DF6175" w:rsidRDefault="00527759" w:rsidP="00B13ECD">
            <w:pPr>
              <w:spacing w:after="0"/>
              <w:rPr>
                <w:rFonts w:ascii="Arial" w:hAnsi="Arial" w:cs="Arial"/>
                <w:sz w:val="24"/>
              </w:rPr>
            </w:pPr>
            <w:r w:rsidRPr="00DF6175">
              <w:rPr>
                <w:rFonts w:ascii="Calibri" w:hAnsi="Calibri" w:cs="Calibri"/>
                <w:color w:val="000000" w:themeColor="dark1"/>
                <w:kern w:val="24"/>
                <w:sz w:val="24"/>
              </w:rPr>
              <w:t>Unknown</w:t>
            </w:r>
          </w:p>
        </w:tc>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58D5FF15" w14:textId="77777777" w:rsidR="00527759" w:rsidRPr="00DF6175" w:rsidRDefault="00527759" w:rsidP="00B13ECD">
            <w:pPr>
              <w:spacing w:after="0"/>
              <w:jc w:val="center"/>
              <w:rPr>
                <w:rFonts w:ascii="Arial" w:hAnsi="Arial" w:cs="Arial"/>
                <w:sz w:val="24"/>
              </w:rPr>
            </w:pPr>
            <w:r w:rsidRPr="00DF6175">
              <w:rPr>
                <w:rFonts w:ascii="Calibri" w:hAnsi="Calibri" w:cs="Calibri"/>
                <w:color w:val="000000" w:themeColor="dark1"/>
                <w:kern w:val="24"/>
                <w:sz w:val="24"/>
              </w:rPr>
              <w:t>0.4%</w:t>
            </w:r>
          </w:p>
        </w:tc>
      </w:tr>
    </w:tbl>
    <w:p w14:paraId="4ECE5EBB" w14:textId="77777777" w:rsidR="00527759" w:rsidRPr="009933DC"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0"/>
          <w:szCs w:val="20"/>
        </w:rPr>
      </w:pPr>
      <w:r w:rsidRPr="009933DC">
        <w:rPr>
          <w:rFonts w:asciiTheme="minorHAnsi" w:eastAsiaTheme="minorEastAsia" w:hAnsi="Calibri" w:cstheme="minorBidi"/>
          <w:i/>
          <w:iCs/>
          <w:color w:val="000000" w:themeColor="text1"/>
          <w:kern w:val="24"/>
          <w:sz w:val="20"/>
          <w:szCs w:val="20"/>
        </w:rPr>
        <w:t>Source: Taft College Office of Institutional Research and Planning, Location&amp;Modality_Final+1.xls</w:t>
      </w:r>
    </w:p>
    <w:p w14:paraId="5E1501E0" w14:textId="77777777" w:rsidR="00527759"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rPr>
      </w:pPr>
    </w:p>
    <w:p w14:paraId="66F5D553" w14:textId="76B154D6" w:rsidR="00527759" w:rsidRDefault="00527759" w:rsidP="00527759">
      <w:pPr>
        <w:spacing w:after="0"/>
        <w:contextualSpacing/>
        <w:rPr>
          <w:rFonts w:eastAsiaTheme="minorEastAsia" w:hAnsi="Calibri"/>
          <w:color w:val="000000" w:themeColor="text1"/>
          <w:kern w:val="24"/>
          <w:sz w:val="24"/>
        </w:rPr>
      </w:pPr>
      <w:r w:rsidRPr="002C0643">
        <w:rPr>
          <w:rFonts w:eastAsiaTheme="minorEastAsia" w:hAnsi="Calibri"/>
          <w:color w:val="000000" w:themeColor="text1"/>
          <w:kern w:val="24"/>
          <w:sz w:val="24"/>
        </w:rPr>
        <w:t xml:space="preserve">Over half of Taft College students (excluding </w:t>
      </w:r>
      <w:r w:rsidR="00CE7648">
        <w:rPr>
          <w:rFonts w:eastAsiaTheme="minorEastAsia" w:hAnsi="Calibri"/>
          <w:color w:val="000000" w:themeColor="text1"/>
          <w:kern w:val="24"/>
          <w:sz w:val="24"/>
        </w:rPr>
        <w:t>WESTEC</w:t>
      </w:r>
      <w:r w:rsidRPr="002C0643">
        <w:rPr>
          <w:rFonts w:eastAsiaTheme="minorEastAsia" w:hAnsi="Calibri"/>
          <w:color w:val="000000" w:themeColor="text1"/>
          <w:kern w:val="24"/>
          <w:sz w:val="24"/>
        </w:rPr>
        <w:t>) have residential ZIP codes in Bakersfield – this proportion has decreased; in recent years it was 60-61%</w:t>
      </w:r>
      <w:r>
        <w:rPr>
          <w:rFonts w:eastAsiaTheme="minorEastAsia" w:hAnsi="Calibri"/>
          <w:color w:val="000000" w:themeColor="text1"/>
          <w:kern w:val="24"/>
          <w:sz w:val="24"/>
        </w:rPr>
        <w:t>.</w:t>
      </w:r>
    </w:p>
    <w:p w14:paraId="0005C106" w14:textId="77777777" w:rsidR="00527759" w:rsidRPr="002C0643" w:rsidRDefault="00527759" w:rsidP="00527759">
      <w:pPr>
        <w:spacing w:after="0"/>
        <w:contextualSpacing/>
        <w:rPr>
          <w:rFonts w:ascii="Times New Roman" w:hAnsi="Times New Roman"/>
          <w:sz w:val="24"/>
        </w:rPr>
      </w:pPr>
    </w:p>
    <w:p w14:paraId="77CABDEC" w14:textId="77777777" w:rsidR="00527759" w:rsidRDefault="00527759" w:rsidP="00527759">
      <w:pPr>
        <w:spacing w:after="0"/>
        <w:contextualSpacing/>
        <w:rPr>
          <w:rFonts w:eastAsiaTheme="minorEastAsia" w:hAnsi="Calibri"/>
          <w:color w:val="000000" w:themeColor="text1"/>
          <w:kern w:val="24"/>
          <w:sz w:val="24"/>
        </w:rPr>
      </w:pPr>
      <w:r w:rsidRPr="002C0643">
        <w:rPr>
          <w:rFonts w:eastAsiaTheme="minorEastAsia" w:hAnsi="Calibri"/>
          <w:color w:val="000000" w:themeColor="text1"/>
          <w:kern w:val="24"/>
          <w:sz w:val="24"/>
        </w:rPr>
        <w:t>One-fifth of Taft College students live in Taft – this proportion has been stable over the past few years</w:t>
      </w:r>
      <w:r>
        <w:rPr>
          <w:rFonts w:eastAsiaTheme="minorEastAsia" w:hAnsi="Calibri"/>
          <w:color w:val="000000" w:themeColor="text1"/>
          <w:kern w:val="24"/>
          <w:sz w:val="24"/>
        </w:rPr>
        <w:t>.</w:t>
      </w:r>
    </w:p>
    <w:p w14:paraId="37E4F029" w14:textId="77777777" w:rsidR="00527759" w:rsidRPr="002C0643" w:rsidRDefault="00527759" w:rsidP="00527759">
      <w:pPr>
        <w:spacing w:after="0"/>
        <w:contextualSpacing/>
        <w:rPr>
          <w:rFonts w:ascii="Times New Roman" w:hAnsi="Times New Roman"/>
          <w:sz w:val="24"/>
        </w:rPr>
      </w:pPr>
    </w:p>
    <w:p w14:paraId="64DE2C09" w14:textId="77777777" w:rsidR="00527759" w:rsidRPr="002C0643" w:rsidRDefault="00527759" w:rsidP="00527759">
      <w:pPr>
        <w:spacing w:after="0"/>
        <w:contextualSpacing/>
        <w:rPr>
          <w:rFonts w:ascii="Times New Roman" w:hAnsi="Times New Roman"/>
          <w:sz w:val="24"/>
        </w:rPr>
      </w:pPr>
      <w:r w:rsidRPr="002C0643">
        <w:rPr>
          <w:rFonts w:eastAsiaTheme="minorEastAsia" w:hAnsi="Calibri"/>
          <w:color w:val="000000" w:themeColor="text1"/>
          <w:kern w:val="24"/>
          <w:sz w:val="24"/>
        </w:rPr>
        <w:t>Nearly another fifth of students are from regional towns, including Shafter (3.5%), Lompoc (2.7%), Wasco (1.8%), Arvin (1.5%), Santa Maria (1.4%) and Lamont (1.2%)</w:t>
      </w:r>
      <w:r>
        <w:rPr>
          <w:rFonts w:eastAsiaTheme="minorEastAsia" w:hAnsi="Calibri"/>
          <w:color w:val="000000" w:themeColor="text1"/>
          <w:kern w:val="24"/>
          <w:sz w:val="24"/>
        </w:rPr>
        <w:t>.</w:t>
      </w:r>
    </w:p>
    <w:p w14:paraId="3A4C38A0" w14:textId="77777777" w:rsidR="00527759" w:rsidRPr="00D30575" w:rsidRDefault="00527759" w:rsidP="00527759">
      <w:pPr>
        <w:pStyle w:val="NormalWeb"/>
        <w:spacing w:before="0" w:beforeAutospacing="0" w:after="0" w:afterAutospacing="0"/>
      </w:pPr>
    </w:p>
    <w:p w14:paraId="1925266C" w14:textId="77777777" w:rsidR="00527759" w:rsidRDefault="00527759" w:rsidP="00F16EFC">
      <w:pPr>
        <w:rPr>
          <w:rFonts w:eastAsia="DengXian Light"/>
        </w:rPr>
      </w:pPr>
    </w:p>
    <w:p w14:paraId="413FBDF9" w14:textId="77777777" w:rsidR="00527759" w:rsidRDefault="00527759" w:rsidP="00F16EFC">
      <w:pPr>
        <w:rPr>
          <w:rFonts w:eastAsia="DengXian Light"/>
        </w:rPr>
      </w:pPr>
    </w:p>
    <w:p w14:paraId="4567D0E6" w14:textId="77777777" w:rsidR="00527759" w:rsidRDefault="00527759" w:rsidP="00F16EFC">
      <w:pPr>
        <w:rPr>
          <w:rFonts w:eastAsia="DengXian Light"/>
        </w:rPr>
      </w:pPr>
    </w:p>
    <w:p w14:paraId="3AC5E06C" w14:textId="77777777" w:rsidR="00527759" w:rsidRDefault="00527759" w:rsidP="00F16EFC">
      <w:pPr>
        <w:rPr>
          <w:rFonts w:eastAsia="DengXian Light"/>
        </w:rPr>
      </w:pPr>
    </w:p>
    <w:p w14:paraId="543F530B" w14:textId="77777777" w:rsidR="00527759" w:rsidRDefault="00527759" w:rsidP="00F16EFC">
      <w:pPr>
        <w:rPr>
          <w:rFonts w:eastAsia="DengXian Light"/>
        </w:rPr>
      </w:pPr>
    </w:p>
    <w:p w14:paraId="1C61B599" w14:textId="77777777" w:rsidR="00527759" w:rsidRDefault="00527759" w:rsidP="00F16EFC">
      <w:pPr>
        <w:rPr>
          <w:rFonts w:eastAsia="DengXian Light"/>
        </w:rPr>
      </w:pPr>
    </w:p>
    <w:p w14:paraId="6B8077EF" w14:textId="77777777" w:rsidR="00527759" w:rsidRPr="00C53FE2" w:rsidRDefault="00527759" w:rsidP="00F16EFC">
      <w:pPr>
        <w:rPr>
          <w:rFonts w:eastAsia="DengXian Light"/>
        </w:rPr>
      </w:pPr>
    </w:p>
    <w:p w14:paraId="3A86055C" w14:textId="77777777" w:rsidR="00527759" w:rsidRDefault="00527759" w:rsidP="00527759">
      <w:pPr>
        <w:rPr>
          <w:rFonts w:ascii="Calibri" w:eastAsia="DengXian Light" w:hAnsi="Calibri" w:cs="Calibri"/>
          <w:b/>
          <w:bCs/>
          <w:color w:val="FF9900"/>
          <w:sz w:val="28"/>
          <w:szCs w:val="28"/>
        </w:rPr>
      </w:pPr>
      <w:bookmarkStart w:id="246" w:name="_Toc168762781"/>
      <w:r>
        <w:rPr>
          <w:rFonts w:ascii="Calibri" w:eastAsia="DengXian Light" w:hAnsi="Calibri" w:cs="Calibri"/>
          <w:b/>
          <w:bCs/>
          <w:color w:val="FF9900"/>
          <w:sz w:val="28"/>
          <w:szCs w:val="28"/>
        </w:rPr>
        <w:br w:type="page"/>
      </w:r>
    </w:p>
    <w:p w14:paraId="428865E0" w14:textId="77777777" w:rsidR="00527759" w:rsidRDefault="00527759" w:rsidP="00F16EFC">
      <w:pPr>
        <w:rPr>
          <w:rFonts w:eastAsia="DengXian Light"/>
        </w:rPr>
      </w:pPr>
      <w:bookmarkStart w:id="247" w:name="_Toc194324273"/>
      <w:r w:rsidRPr="00C53FE2">
        <w:rPr>
          <w:rFonts w:eastAsia="DengXian Light"/>
        </w:rPr>
        <w:lastRenderedPageBreak/>
        <w:t>Taft College “Special Populations”</w:t>
      </w:r>
      <w:bookmarkEnd w:id="246"/>
      <w:bookmarkEnd w:id="247"/>
    </w:p>
    <w:p w14:paraId="777A3CF7" w14:textId="77777777" w:rsidR="001509DE" w:rsidRPr="001509DE" w:rsidRDefault="001509DE" w:rsidP="001509DE">
      <w:pPr>
        <w:rPr>
          <w:rFonts w:eastAsia="DengXian Light"/>
        </w:rPr>
      </w:pPr>
    </w:p>
    <w:tbl>
      <w:tblPr>
        <w:tblW w:w="9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2"/>
        <w:gridCol w:w="912"/>
        <w:gridCol w:w="1215"/>
        <w:gridCol w:w="912"/>
      </w:tblGrid>
      <w:tr w:rsidR="00527759" w:rsidRPr="00C53FE2" w14:paraId="66E89CFE" w14:textId="77777777" w:rsidTr="00B13ECD">
        <w:trPr>
          <w:trHeight w:val="293"/>
        </w:trPr>
        <w:tc>
          <w:tcPr>
            <w:tcW w:w="6542" w:type="dxa"/>
            <w:shd w:val="clear" w:color="auto" w:fill="F4B083"/>
            <w:noWrap/>
            <w:vAlign w:val="bottom"/>
            <w:hideMark/>
          </w:tcPr>
          <w:p w14:paraId="05B918D9" w14:textId="77777777" w:rsidR="00527759" w:rsidRPr="00C53FE2" w:rsidRDefault="00527759" w:rsidP="00B13ECD">
            <w:pPr>
              <w:spacing w:after="0"/>
              <w:jc w:val="center"/>
              <w:rPr>
                <w:rFonts w:ascii="Calibri" w:hAnsi="Calibri" w:cs="Calibri"/>
                <w:b/>
                <w:bCs/>
                <w:color w:val="000000"/>
              </w:rPr>
            </w:pPr>
            <w:r w:rsidRPr="00C53FE2">
              <w:rPr>
                <w:rFonts w:ascii="Calibri" w:hAnsi="Calibri" w:cs="Calibri"/>
                <w:b/>
                <w:bCs/>
                <w:color w:val="000000"/>
              </w:rPr>
              <w:t>Special Characteristic, Fall 2023</w:t>
            </w:r>
          </w:p>
        </w:tc>
        <w:tc>
          <w:tcPr>
            <w:tcW w:w="912" w:type="dxa"/>
            <w:shd w:val="clear" w:color="auto" w:fill="F4B083"/>
            <w:noWrap/>
            <w:vAlign w:val="bottom"/>
            <w:hideMark/>
          </w:tcPr>
          <w:p w14:paraId="28FAE179" w14:textId="77777777" w:rsidR="00527759" w:rsidRPr="00C53FE2" w:rsidRDefault="00527759" w:rsidP="00B13ECD">
            <w:pPr>
              <w:spacing w:after="0"/>
              <w:jc w:val="center"/>
              <w:rPr>
                <w:rFonts w:ascii="Calibri" w:hAnsi="Calibri" w:cs="Calibri"/>
                <w:b/>
                <w:bCs/>
                <w:color w:val="000000"/>
              </w:rPr>
            </w:pPr>
            <w:r w:rsidRPr="00C53FE2">
              <w:rPr>
                <w:rFonts w:ascii="Calibri" w:hAnsi="Calibri" w:cs="Calibri"/>
                <w:b/>
                <w:bCs/>
                <w:color w:val="000000"/>
              </w:rPr>
              <w:t>Head Count</w:t>
            </w:r>
          </w:p>
        </w:tc>
        <w:tc>
          <w:tcPr>
            <w:tcW w:w="1139" w:type="dxa"/>
            <w:shd w:val="clear" w:color="auto" w:fill="F4B083"/>
            <w:noWrap/>
            <w:vAlign w:val="bottom"/>
            <w:hideMark/>
          </w:tcPr>
          <w:p w14:paraId="3BA8B1FA" w14:textId="77777777" w:rsidR="00527759" w:rsidRPr="00C53FE2" w:rsidRDefault="00527759" w:rsidP="00B13ECD">
            <w:pPr>
              <w:spacing w:after="0"/>
              <w:jc w:val="center"/>
              <w:rPr>
                <w:rFonts w:ascii="Calibri" w:hAnsi="Calibri" w:cs="Calibri"/>
                <w:b/>
                <w:bCs/>
                <w:color w:val="000000"/>
              </w:rPr>
            </w:pPr>
            <w:r w:rsidRPr="00C53FE2">
              <w:rPr>
                <w:rFonts w:ascii="Calibri" w:hAnsi="Calibri" w:cs="Calibri"/>
                <w:b/>
                <w:bCs/>
                <w:color w:val="000000"/>
              </w:rPr>
              <w:t>% Headcount</w:t>
            </w:r>
          </w:p>
        </w:tc>
        <w:tc>
          <w:tcPr>
            <w:tcW w:w="912" w:type="dxa"/>
            <w:shd w:val="clear" w:color="auto" w:fill="F4B083"/>
            <w:noWrap/>
            <w:vAlign w:val="bottom"/>
            <w:hideMark/>
          </w:tcPr>
          <w:p w14:paraId="51C0A78D" w14:textId="77777777" w:rsidR="00527759" w:rsidRPr="00C53FE2" w:rsidRDefault="00527759" w:rsidP="00B13ECD">
            <w:pPr>
              <w:spacing w:after="0"/>
              <w:jc w:val="center"/>
              <w:rPr>
                <w:rFonts w:ascii="Calibri" w:hAnsi="Calibri" w:cs="Calibri"/>
                <w:b/>
                <w:bCs/>
                <w:color w:val="000000"/>
              </w:rPr>
            </w:pPr>
            <w:r w:rsidRPr="00C53FE2">
              <w:rPr>
                <w:rFonts w:ascii="Calibri" w:hAnsi="Calibri" w:cs="Calibri"/>
                <w:b/>
                <w:bCs/>
                <w:color w:val="000000"/>
              </w:rPr>
              <w:t>Credit FTES</w:t>
            </w:r>
          </w:p>
        </w:tc>
      </w:tr>
      <w:tr w:rsidR="00527759" w:rsidRPr="00C53FE2" w14:paraId="333EB202" w14:textId="77777777" w:rsidTr="00B13ECD">
        <w:trPr>
          <w:trHeight w:val="293"/>
        </w:trPr>
        <w:tc>
          <w:tcPr>
            <w:tcW w:w="6542" w:type="dxa"/>
            <w:shd w:val="clear" w:color="auto" w:fill="auto"/>
            <w:noWrap/>
            <w:vAlign w:val="bottom"/>
            <w:hideMark/>
          </w:tcPr>
          <w:p w14:paraId="04DBB523"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First Generation                                                           </w:t>
            </w:r>
          </w:p>
        </w:tc>
        <w:tc>
          <w:tcPr>
            <w:tcW w:w="912" w:type="dxa"/>
            <w:shd w:val="clear" w:color="auto" w:fill="auto"/>
            <w:noWrap/>
            <w:vAlign w:val="bottom"/>
            <w:hideMark/>
          </w:tcPr>
          <w:p w14:paraId="7BC0B2AA"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1,175</w:t>
            </w:r>
          </w:p>
        </w:tc>
        <w:tc>
          <w:tcPr>
            <w:tcW w:w="1139" w:type="dxa"/>
            <w:shd w:val="clear" w:color="auto" w:fill="auto"/>
            <w:noWrap/>
            <w:vAlign w:val="bottom"/>
            <w:hideMark/>
          </w:tcPr>
          <w:p w14:paraId="2A931161"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29.6%</w:t>
            </w:r>
          </w:p>
        </w:tc>
        <w:tc>
          <w:tcPr>
            <w:tcW w:w="912" w:type="dxa"/>
            <w:shd w:val="clear" w:color="auto" w:fill="auto"/>
            <w:noWrap/>
            <w:vAlign w:val="bottom"/>
            <w:hideMark/>
          </w:tcPr>
          <w:p w14:paraId="670E862F"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420.28</w:t>
            </w:r>
          </w:p>
        </w:tc>
      </w:tr>
      <w:tr w:rsidR="00527759" w:rsidRPr="00C53FE2" w14:paraId="650045CF" w14:textId="77777777" w:rsidTr="00B13ECD">
        <w:trPr>
          <w:trHeight w:val="293"/>
        </w:trPr>
        <w:tc>
          <w:tcPr>
            <w:tcW w:w="6542" w:type="dxa"/>
            <w:shd w:val="clear" w:color="auto" w:fill="auto"/>
            <w:noWrap/>
            <w:vAlign w:val="bottom"/>
            <w:hideMark/>
          </w:tcPr>
          <w:p w14:paraId="073FD703"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Special Admit                                                              </w:t>
            </w:r>
          </w:p>
        </w:tc>
        <w:tc>
          <w:tcPr>
            <w:tcW w:w="912" w:type="dxa"/>
            <w:shd w:val="clear" w:color="auto" w:fill="auto"/>
            <w:noWrap/>
            <w:vAlign w:val="bottom"/>
            <w:hideMark/>
          </w:tcPr>
          <w:p w14:paraId="3728513A"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657</w:t>
            </w:r>
          </w:p>
        </w:tc>
        <w:tc>
          <w:tcPr>
            <w:tcW w:w="1139" w:type="dxa"/>
            <w:shd w:val="clear" w:color="auto" w:fill="auto"/>
            <w:noWrap/>
            <w:vAlign w:val="bottom"/>
            <w:hideMark/>
          </w:tcPr>
          <w:p w14:paraId="20C0EE52"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16.5%</w:t>
            </w:r>
          </w:p>
        </w:tc>
        <w:tc>
          <w:tcPr>
            <w:tcW w:w="912" w:type="dxa"/>
            <w:shd w:val="clear" w:color="auto" w:fill="auto"/>
            <w:noWrap/>
            <w:vAlign w:val="bottom"/>
            <w:hideMark/>
          </w:tcPr>
          <w:p w14:paraId="248387DF"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54.64</w:t>
            </w:r>
          </w:p>
        </w:tc>
      </w:tr>
      <w:tr w:rsidR="00527759" w:rsidRPr="00C53FE2" w14:paraId="53F4B41A" w14:textId="77777777" w:rsidTr="00B13ECD">
        <w:trPr>
          <w:trHeight w:val="293"/>
        </w:trPr>
        <w:tc>
          <w:tcPr>
            <w:tcW w:w="6542" w:type="dxa"/>
            <w:shd w:val="clear" w:color="auto" w:fill="auto"/>
            <w:noWrap/>
            <w:vAlign w:val="bottom"/>
            <w:hideMark/>
          </w:tcPr>
          <w:p w14:paraId="56830132"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Received Services/Support through Basic Needs Center                       </w:t>
            </w:r>
          </w:p>
        </w:tc>
        <w:tc>
          <w:tcPr>
            <w:tcW w:w="912" w:type="dxa"/>
            <w:shd w:val="clear" w:color="auto" w:fill="auto"/>
            <w:noWrap/>
            <w:vAlign w:val="bottom"/>
            <w:hideMark/>
          </w:tcPr>
          <w:p w14:paraId="7AD1C3B0"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580</w:t>
            </w:r>
          </w:p>
        </w:tc>
        <w:tc>
          <w:tcPr>
            <w:tcW w:w="1139" w:type="dxa"/>
            <w:shd w:val="clear" w:color="auto" w:fill="auto"/>
            <w:noWrap/>
            <w:vAlign w:val="bottom"/>
            <w:hideMark/>
          </w:tcPr>
          <w:p w14:paraId="5C4D1FB0"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14.6%</w:t>
            </w:r>
          </w:p>
        </w:tc>
        <w:tc>
          <w:tcPr>
            <w:tcW w:w="912" w:type="dxa"/>
            <w:shd w:val="clear" w:color="auto" w:fill="auto"/>
            <w:noWrap/>
            <w:vAlign w:val="bottom"/>
            <w:hideMark/>
          </w:tcPr>
          <w:p w14:paraId="15C57A62"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302.63</w:t>
            </w:r>
          </w:p>
        </w:tc>
      </w:tr>
      <w:tr w:rsidR="00527759" w:rsidRPr="00C53FE2" w14:paraId="4648E2BD" w14:textId="77777777" w:rsidTr="00B13ECD">
        <w:trPr>
          <w:trHeight w:val="293"/>
        </w:trPr>
        <w:tc>
          <w:tcPr>
            <w:tcW w:w="6542" w:type="dxa"/>
            <w:shd w:val="clear" w:color="auto" w:fill="auto"/>
            <w:noWrap/>
            <w:vAlign w:val="bottom"/>
            <w:hideMark/>
          </w:tcPr>
          <w:p w14:paraId="6DAE339E"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EOPS - Extended Opportunity Programs &amp; Services                            </w:t>
            </w:r>
          </w:p>
        </w:tc>
        <w:tc>
          <w:tcPr>
            <w:tcW w:w="912" w:type="dxa"/>
            <w:shd w:val="clear" w:color="auto" w:fill="auto"/>
            <w:noWrap/>
            <w:vAlign w:val="bottom"/>
            <w:hideMark/>
          </w:tcPr>
          <w:p w14:paraId="4EFF1CFF"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251</w:t>
            </w:r>
          </w:p>
        </w:tc>
        <w:tc>
          <w:tcPr>
            <w:tcW w:w="1139" w:type="dxa"/>
            <w:shd w:val="clear" w:color="auto" w:fill="auto"/>
            <w:noWrap/>
            <w:vAlign w:val="bottom"/>
            <w:hideMark/>
          </w:tcPr>
          <w:p w14:paraId="2C08525B"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6.3%</w:t>
            </w:r>
          </w:p>
        </w:tc>
        <w:tc>
          <w:tcPr>
            <w:tcW w:w="912" w:type="dxa"/>
            <w:shd w:val="clear" w:color="auto" w:fill="auto"/>
            <w:noWrap/>
            <w:vAlign w:val="bottom"/>
            <w:hideMark/>
          </w:tcPr>
          <w:p w14:paraId="564C403A"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125.37</w:t>
            </w:r>
          </w:p>
        </w:tc>
      </w:tr>
      <w:tr w:rsidR="00527759" w:rsidRPr="00C53FE2" w14:paraId="546E70D9" w14:textId="77777777" w:rsidTr="00B13ECD">
        <w:trPr>
          <w:trHeight w:val="293"/>
        </w:trPr>
        <w:tc>
          <w:tcPr>
            <w:tcW w:w="6542" w:type="dxa"/>
            <w:shd w:val="clear" w:color="auto" w:fill="auto"/>
            <w:noWrap/>
            <w:vAlign w:val="bottom"/>
            <w:hideMark/>
          </w:tcPr>
          <w:p w14:paraId="752F3530"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DSPS - Disabled Students Programs &amp; Services                               </w:t>
            </w:r>
          </w:p>
        </w:tc>
        <w:tc>
          <w:tcPr>
            <w:tcW w:w="912" w:type="dxa"/>
            <w:shd w:val="clear" w:color="auto" w:fill="auto"/>
            <w:noWrap/>
            <w:vAlign w:val="bottom"/>
            <w:hideMark/>
          </w:tcPr>
          <w:p w14:paraId="2F186C0C"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114</w:t>
            </w:r>
          </w:p>
        </w:tc>
        <w:tc>
          <w:tcPr>
            <w:tcW w:w="1139" w:type="dxa"/>
            <w:shd w:val="clear" w:color="auto" w:fill="auto"/>
            <w:noWrap/>
            <w:vAlign w:val="bottom"/>
            <w:hideMark/>
          </w:tcPr>
          <w:p w14:paraId="56F5DAB4"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2.9%</w:t>
            </w:r>
          </w:p>
        </w:tc>
        <w:tc>
          <w:tcPr>
            <w:tcW w:w="912" w:type="dxa"/>
            <w:shd w:val="clear" w:color="auto" w:fill="auto"/>
            <w:noWrap/>
            <w:vAlign w:val="bottom"/>
            <w:hideMark/>
          </w:tcPr>
          <w:p w14:paraId="30D41D22"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35.48</w:t>
            </w:r>
          </w:p>
        </w:tc>
      </w:tr>
      <w:tr w:rsidR="00527759" w:rsidRPr="00C53FE2" w14:paraId="4F49EC47" w14:textId="77777777" w:rsidTr="00B13ECD">
        <w:trPr>
          <w:trHeight w:val="293"/>
        </w:trPr>
        <w:tc>
          <w:tcPr>
            <w:tcW w:w="6542" w:type="dxa"/>
            <w:shd w:val="clear" w:color="auto" w:fill="auto"/>
            <w:noWrap/>
            <w:vAlign w:val="bottom"/>
            <w:hideMark/>
          </w:tcPr>
          <w:p w14:paraId="2BEC2A52"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Foster Youth                                                               </w:t>
            </w:r>
          </w:p>
        </w:tc>
        <w:tc>
          <w:tcPr>
            <w:tcW w:w="912" w:type="dxa"/>
            <w:shd w:val="clear" w:color="auto" w:fill="auto"/>
            <w:noWrap/>
            <w:vAlign w:val="bottom"/>
            <w:hideMark/>
          </w:tcPr>
          <w:p w14:paraId="1E205E70"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82</w:t>
            </w:r>
          </w:p>
        </w:tc>
        <w:tc>
          <w:tcPr>
            <w:tcW w:w="1139" w:type="dxa"/>
            <w:shd w:val="clear" w:color="auto" w:fill="auto"/>
            <w:noWrap/>
            <w:vAlign w:val="bottom"/>
            <w:hideMark/>
          </w:tcPr>
          <w:p w14:paraId="5AD3AF93"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2.1%</w:t>
            </w:r>
          </w:p>
        </w:tc>
        <w:tc>
          <w:tcPr>
            <w:tcW w:w="912" w:type="dxa"/>
            <w:shd w:val="clear" w:color="auto" w:fill="auto"/>
            <w:noWrap/>
            <w:vAlign w:val="bottom"/>
            <w:hideMark/>
          </w:tcPr>
          <w:p w14:paraId="06037FC9"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26.87</w:t>
            </w:r>
          </w:p>
        </w:tc>
      </w:tr>
      <w:tr w:rsidR="00527759" w:rsidRPr="00C53FE2" w14:paraId="674D5A16" w14:textId="77777777" w:rsidTr="00B13ECD">
        <w:trPr>
          <w:trHeight w:val="293"/>
        </w:trPr>
        <w:tc>
          <w:tcPr>
            <w:tcW w:w="6542" w:type="dxa"/>
            <w:shd w:val="clear" w:color="auto" w:fill="auto"/>
            <w:noWrap/>
            <w:vAlign w:val="bottom"/>
            <w:hideMark/>
          </w:tcPr>
          <w:p w14:paraId="61FA4AB7"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Veteran                                                                    </w:t>
            </w:r>
          </w:p>
        </w:tc>
        <w:tc>
          <w:tcPr>
            <w:tcW w:w="912" w:type="dxa"/>
            <w:shd w:val="clear" w:color="auto" w:fill="auto"/>
            <w:noWrap/>
            <w:vAlign w:val="bottom"/>
            <w:hideMark/>
          </w:tcPr>
          <w:p w14:paraId="5A113009"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25</w:t>
            </w:r>
          </w:p>
        </w:tc>
        <w:tc>
          <w:tcPr>
            <w:tcW w:w="1139" w:type="dxa"/>
            <w:shd w:val="clear" w:color="auto" w:fill="auto"/>
            <w:noWrap/>
            <w:vAlign w:val="bottom"/>
            <w:hideMark/>
          </w:tcPr>
          <w:p w14:paraId="606CB624"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0.6%</w:t>
            </w:r>
          </w:p>
        </w:tc>
        <w:tc>
          <w:tcPr>
            <w:tcW w:w="912" w:type="dxa"/>
            <w:shd w:val="clear" w:color="auto" w:fill="auto"/>
            <w:noWrap/>
            <w:vAlign w:val="bottom"/>
            <w:hideMark/>
          </w:tcPr>
          <w:p w14:paraId="459459FF"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7.6</w:t>
            </w:r>
          </w:p>
        </w:tc>
      </w:tr>
      <w:tr w:rsidR="00527759" w:rsidRPr="00C53FE2" w14:paraId="4CBCC52C" w14:textId="77777777" w:rsidTr="00B13ECD">
        <w:trPr>
          <w:trHeight w:val="293"/>
        </w:trPr>
        <w:tc>
          <w:tcPr>
            <w:tcW w:w="6542" w:type="dxa"/>
            <w:shd w:val="clear" w:color="auto" w:fill="auto"/>
            <w:noWrap/>
            <w:vAlign w:val="bottom"/>
            <w:hideMark/>
          </w:tcPr>
          <w:p w14:paraId="1D85DEA7"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CalWORKs - California Work Opportunity &amp; Responsibility to Kids            </w:t>
            </w:r>
          </w:p>
        </w:tc>
        <w:tc>
          <w:tcPr>
            <w:tcW w:w="912" w:type="dxa"/>
            <w:shd w:val="clear" w:color="auto" w:fill="auto"/>
            <w:noWrap/>
            <w:vAlign w:val="bottom"/>
            <w:hideMark/>
          </w:tcPr>
          <w:p w14:paraId="33BB6C48"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10</w:t>
            </w:r>
          </w:p>
        </w:tc>
        <w:tc>
          <w:tcPr>
            <w:tcW w:w="1139" w:type="dxa"/>
            <w:shd w:val="clear" w:color="auto" w:fill="auto"/>
            <w:noWrap/>
            <w:vAlign w:val="bottom"/>
            <w:hideMark/>
          </w:tcPr>
          <w:p w14:paraId="3835E82A"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0.3%</w:t>
            </w:r>
          </w:p>
        </w:tc>
        <w:tc>
          <w:tcPr>
            <w:tcW w:w="912" w:type="dxa"/>
            <w:shd w:val="clear" w:color="auto" w:fill="auto"/>
            <w:noWrap/>
            <w:vAlign w:val="bottom"/>
            <w:hideMark/>
          </w:tcPr>
          <w:p w14:paraId="07185D37"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4.42</w:t>
            </w:r>
          </w:p>
        </w:tc>
      </w:tr>
      <w:tr w:rsidR="00527759" w:rsidRPr="00C53FE2" w14:paraId="64656AE5" w14:textId="77777777" w:rsidTr="00B13ECD">
        <w:trPr>
          <w:trHeight w:val="293"/>
        </w:trPr>
        <w:tc>
          <w:tcPr>
            <w:tcW w:w="6542" w:type="dxa"/>
            <w:shd w:val="clear" w:color="auto" w:fill="auto"/>
            <w:noWrap/>
            <w:vAlign w:val="bottom"/>
            <w:hideMark/>
          </w:tcPr>
          <w:p w14:paraId="00E4F9B0"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Homeless                                                                   </w:t>
            </w:r>
          </w:p>
        </w:tc>
        <w:tc>
          <w:tcPr>
            <w:tcW w:w="912" w:type="dxa"/>
            <w:shd w:val="clear" w:color="auto" w:fill="auto"/>
            <w:noWrap/>
            <w:vAlign w:val="bottom"/>
            <w:hideMark/>
          </w:tcPr>
          <w:p w14:paraId="6B4B7A1A"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10</w:t>
            </w:r>
          </w:p>
        </w:tc>
        <w:tc>
          <w:tcPr>
            <w:tcW w:w="1139" w:type="dxa"/>
            <w:shd w:val="clear" w:color="auto" w:fill="auto"/>
            <w:noWrap/>
            <w:vAlign w:val="bottom"/>
            <w:hideMark/>
          </w:tcPr>
          <w:p w14:paraId="499814E2"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0.3%</w:t>
            </w:r>
          </w:p>
        </w:tc>
        <w:tc>
          <w:tcPr>
            <w:tcW w:w="912" w:type="dxa"/>
            <w:shd w:val="clear" w:color="auto" w:fill="auto"/>
            <w:noWrap/>
            <w:vAlign w:val="bottom"/>
            <w:hideMark/>
          </w:tcPr>
          <w:p w14:paraId="6A65F498"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2.97</w:t>
            </w:r>
          </w:p>
        </w:tc>
      </w:tr>
      <w:tr w:rsidR="00527759" w:rsidRPr="00C53FE2" w14:paraId="3EBFE3A5" w14:textId="77777777" w:rsidTr="00B13ECD">
        <w:trPr>
          <w:trHeight w:val="293"/>
        </w:trPr>
        <w:tc>
          <w:tcPr>
            <w:tcW w:w="6542" w:type="dxa"/>
            <w:shd w:val="clear" w:color="auto" w:fill="auto"/>
            <w:noWrap/>
            <w:vAlign w:val="bottom"/>
            <w:hideMark/>
          </w:tcPr>
          <w:p w14:paraId="21C2C0D0"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Military (Active Duty, Active Reserve, National Guard)                  </w:t>
            </w:r>
          </w:p>
        </w:tc>
        <w:tc>
          <w:tcPr>
            <w:tcW w:w="912" w:type="dxa"/>
            <w:shd w:val="clear" w:color="auto" w:fill="auto"/>
            <w:noWrap/>
            <w:vAlign w:val="bottom"/>
            <w:hideMark/>
          </w:tcPr>
          <w:p w14:paraId="476BBB70"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7</w:t>
            </w:r>
          </w:p>
        </w:tc>
        <w:tc>
          <w:tcPr>
            <w:tcW w:w="1139" w:type="dxa"/>
            <w:shd w:val="clear" w:color="auto" w:fill="auto"/>
            <w:noWrap/>
            <w:vAlign w:val="bottom"/>
            <w:hideMark/>
          </w:tcPr>
          <w:p w14:paraId="0B02834B"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0.2%</w:t>
            </w:r>
          </w:p>
        </w:tc>
        <w:tc>
          <w:tcPr>
            <w:tcW w:w="912" w:type="dxa"/>
            <w:shd w:val="clear" w:color="auto" w:fill="auto"/>
            <w:noWrap/>
            <w:vAlign w:val="bottom"/>
            <w:hideMark/>
          </w:tcPr>
          <w:p w14:paraId="7A739249"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2.64</w:t>
            </w:r>
          </w:p>
        </w:tc>
      </w:tr>
      <w:tr w:rsidR="00527759" w:rsidRPr="00C53FE2" w14:paraId="3F8D4676" w14:textId="77777777" w:rsidTr="00B13ECD">
        <w:trPr>
          <w:trHeight w:val="293"/>
        </w:trPr>
        <w:tc>
          <w:tcPr>
            <w:tcW w:w="6542" w:type="dxa"/>
            <w:shd w:val="clear" w:color="auto" w:fill="auto"/>
            <w:noWrap/>
            <w:vAlign w:val="bottom"/>
            <w:hideMark/>
          </w:tcPr>
          <w:p w14:paraId="628D04C9"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CARE - Cooperative Agencies Resources for Education                        </w:t>
            </w:r>
          </w:p>
        </w:tc>
        <w:tc>
          <w:tcPr>
            <w:tcW w:w="912" w:type="dxa"/>
            <w:shd w:val="clear" w:color="auto" w:fill="auto"/>
            <w:noWrap/>
            <w:vAlign w:val="bottom"/>
            <w:hideMark/>
          </w:tcPr>
          <w:p w14:paraId="56FD76AC"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6</w:t>
            </w:r>
          </w:p>
        </w:tc>
        <w:tc>
          <w:tcPr>
            <w:tcW w:w="1139" w:type="dxa"/>
            <w:shd w:val="clear" w:color="auto" w:fill="auto"/>
            <w:noWrap/>
            <w:vAlign w:val="bottom"/>
            <w:hideMark/>
          </w:tcPr>
          <w:p w14:paraId="54BE94A7"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0.2%</w:t>
            </w:r>
          </w:p>
        </w:tc>
        <w:tc>
          <w:tcPr>
            <w:tcW w:w="912" w:type="dxa"/>
            <w:shd w:val="clear" w:color="auto" w:fill="auto"/>
            <w:noWrap/>
            <w:vAlign w:val="bottom"/>
            <w:hideMark/>
          </w:tcPr>
          <w:p w14:paraId="2E59A149"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2.48</w:t>
            </w:r>
          </w:p>
        </w:tc>
      </w:tr>
      <w:tr w:rsidR="00527759" w:rsidRPr="00C53FE2" w14:paraId="6B4B725F" w14:textId="77777777" w:rsidTr="00B13ECD">
        <w:trPr>
          <w:trHeight w:val="293"/>
        </w:trPr>
        <w:tc>
          <w:tcPr>
            <w:tcW w:w="6542" w:type="dxa"/>
            <w:shd w:val="clear" w:color="auto" w:fill="auto"/>
            <w:noWrap/>
            <w:vAlign w:val="bottom"/>
            <w:hideMark/>
          </w:tcPr>
          <w:p w14:paraId="29D4E7A6"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CAFYES - Cooperating Agencies Foster Youth Educational Support             </w:t>
            </w:r>
          </w:p>
        </w:tc>
        <w:tc>
          <w:tcPr>
            <w:tcW w:w="912" w:type="dxa"/>
            <w:shd w:val="clear" w:color="auto" w:fill="auto"/>
            <w:noWrap/>
            <w:vAlign w:val="bottom"/>
            <w:hideMark/>
          </w:tcPr>
          <w:p w14:paraId="67C7896B"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5</w:t>
            </w:r>
          </w:p>
        </w:tc>
        <w:tc>
          <w:tcPr>
            <w:tcW w:w="1139" w:type="dxa"/>
            <w:shd w:val="clear" w:color="auto" w:fill="auto"/>
            <w:noWrap/>
            <w:vAlign w:val="bottom"/>
            <w:hideMark/>
          </w:tcPr>
          <w:p w14:paraId="6CEFBDF6"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0.1%</w:t>
            </w:r>
          </w:p>
        </w:tc>
        <w:tc>
          <w:tcPr>
            <w:tcW w:w="912" w:type="dxa"/>
            <w:shd w:val="clear" w:color="auto" w:fill="auto"/>
            <w:noWrap/>
            <w:vAlign w:val="bottom"/>
            <w:hideMark/>
          </w:tcPr>
          <w:p w14:paraId="44577C61"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2.4</w:t>
            </w:r>
          </w:p>
        </w:tc>
      </w:tr>
    </w:tbl>
    <w:p w14:paraId="486F9E3F" w14:textId="5620F156" w:rsidR="00527759" w:rsidRPr="002E038F" w:rsidRDefault="00527759" w:rsidP="009933DC">
      <w:pPr>
        <w:rPr>
          <w:rFonts w:ascii="Calibri" w:hAnsi="Calibri"/>
          <w:i/>
          <w:iCs/>
          <w:sz w:val="20"/>
          <w:szCs w:val="20"/>
        </w:rPr>
      </w:pPr>
      <w:r w:rsidRPr="002E038F">
        <w:rPr>
          <w:rFonts w:ascii="Calibri" w:hAnsi="Calibri"/>
          <w:i/>
          <w:iCs/>
          <w:sz w:val="20"/>
          <w:szCs w:val="20"/>
        </w:rPr>
        <w:t xml:space="preserve">Source: CCCCO </w:t>
      </w:r>
      <w:hyperlink r:id="rId89" w:history="1">
        <w:r w:rsidRPr="002E038F">
          <w:rPr>
            <w:rFonts w:ascii="Calibri" w:hAnsi="Calibri"/>
            <w:i/>
            <w:iCs/>
            <w:color w:val="0563C1"/>
            <w:sz w:val="20"/>
            <w:szCs w:val="20"/>
            <w:u w:val="single"/>
          </w:rPr>
          <w:t>DataMart</w:t>
        </w:r>
      </w:hyperlink>
      <w:r w:rsidR="002E038F">
        <w:rPr>
          <w:rFonts w:ascii="Calibri" w:hAnsi="Calibri"/>
          <w:i/>
          <w:iCs/>
          <w:color w:val="0563C1"/>
          <w:sz w:val="20"/>
          <w:szCs w:val="20"/>
          <w:u w:val="single"/>
        </w:rPr>
        <w:t>.</w:t>
      </w:r>
    </w:p>
    <w:p w14:paraId="7D16BAEA" w14:textId="04FFE7CA" w:rsidR="00527759" w:rsidRPr="00C53FE2" w:rsidRDefault="00527759" w:rsidP="00527759">
      <w:pPr>
        <w:rPr>
          <w:rFonts w:ascii="Calibri" w:hAnsi="Calibri"/>
        </w:rPr>
      </w:pPr>
      <w:r w:rsidRPr="00C53FE2">
        <w:rPr>
          <w:rFonts w:ascii="Calibri" w:hAnsi="Calibri"/>
        </w:rPr>
        <w:t xml:space="preserve">Nearly one-third (29.6%) of Taft College students, including </w:t>
      </w:r>
      <w:r w:rsidR="00CE7648">
        <w:rPr>
          <w:rFonts w:ascii="Calibri" w:hAnsi="Calibri"/>
        </w:rPr>
        <w:t>WESTEC</w:t>
      </w:r>
      <w:r w:rsidRPr="00C53FE2">
        <w:rPr>
          <w:rFonts w:ascii="Calibri" w:hAnsi="Calibri"/>
        </w:rPr>
        <w:t xml:space="preserve">, are First Generation </w:t>
      </w:r>
      <w:r w:rsidR="002E038F">
        <w:rPr>
          <w:rFonts w:ascii="Calibri" w:hAnsi="Calibri"/>
        </w:rPr>
        <w:t>c</w:t>
      </w:r>
      <w:r w:rsidRPr="00C53FE2">
        <w:rPr>
          <w:rFonts w:ascii="Calibri" w:hAnsi="Calibri"/>
        </w:rPr>
        <w:t>ollege students, meaning neither parent/guardian earned a Bachelor degree.</w:t>
      </w:r>
    </w:p>
    <w:p w14:paraId="6C0D8FA7" w14:textId="77777777" w:rsidR="00527759" w:rsidRPr="00C53FE2" w:rsidRDefault="00527759" w:rsidP="00527759">
      <w:pPr>
        <w:rPr>
          <w:rFonts w:ascii="Calibri" w:hAnsi="Calibri"/>
        </w:rPr>
      </w:pPr>
      <w:r w:rsidRPr="00C53FE2">
        <w:rPr>
          <w:rFonts w:ascii="Calibri" w:hAnsi="Calibri"/>
        </w:rPr>
        <w:t>One in six (16.5%) Taft College students are Special Admit, meaning they are concurrently enrolled in high school.</w:t>
      </w:r>
    </w:p>
    <w:p w14:paraId="5F4CE231" w14:textId="77777777" w:rsidR="00527759" w:rsidRPr="00C53FE2" w:rsidRDefault="00527759" w:rsidP="00527759">
      <w:pPr>
        <w:rPr>
          <w:rFonts w:ascii="Calibri" w:hAnsi="Calibri"/>
        </w:rPr>
      </w:pPr>
      <w:r w:rsidRPr="00C53FE2">
        <w:rPr>
          <w:rFonts w:ascii="Calibri" w:hAnsi="Calibri"/>
        </w:rPr>
        <w:t>One in seven (14.6%) Taft College students received Basic Needs support.</w:t>
      </w:r>
    </w:p>
    <w:p w14:paraId="238E5AA1" w14:textId="77777777" w:rsidR="00527759" w:rsidRPr="00C53FE2" w:rsidRDefault="00527759" w:rsidP="00527759">
      <w:pPr>
        <w:rPr>
          <w:rFonts w:ascii="Calibri" w:hAnsi="Calibri"/>
        </w:rPr>
      </w:pPr>
      <w:r w:rsidRPr="00C53FE2">
        <w:rPr>
          <w:rFonts w:ascii="Calibri" w:hAnsi="Calibri"/>
        </w:rPr>
        <w:t>Smaller proportions of students are in other special populations, as indicated in the above chart.</w:t>
      </w:r>
    </w:p>
    <w:p w14:paraId="27378A63" w14:textId="77777777" w:rsidR="00527759" w:rsidRPr="00C53FE2" w:rsidRDefault="00527759" w:rsidP="00527759">
      <w:pPr>
        <w:rPr>
          <w:rFonts w:ascii="Calibri" w:hAnsi="Calibri"/>
        </w:rPr>
      </w:pPr>
    </w:p>
    <w:p w14:paraId="30922E09" w14:textId="77777777" w:rsidR="001509DE" w:rsidRDefault="001509DE">
      <w:pPr>
        <w:spacing w:after="0"/>
        <w:rPr>
          <w:rFonts w:asciiTheme="majorHAnsi" w:eastAsia="DengXian Light" w:hAnsiTheme="majorHAnsi" w:cstheme="majorBidi"/>
          <w:b/>
          <w:bCs/>
          <w:color w:val="4472C4" w:themeColor="accent1"/>
          <w:sz w:val="24"/>
        </w:rPr>
      </w:pPr>
      <w:bookmarkStart w:id="248" w:name="_Toc168762782"/>
      <w:r>
        <w:rPr>
          <w:rFonts w:eastAsia="DengXian Light"/>
        </w:rPr>
        <w:br w:type="page"/>
      </w:r>
    </w:p>
    <w:p w14:paraId="18C4BEC6" w14:textId="3B65198E" w:rsidR="00527759" w:rsidRDefault="00527759" w:rsidP="00F16EFC">
      <w:pPr>
        <w:rPr>
          <w:rFonts w:eastAsia="DengXian Light"/>
        </w:rPr>
      </w:pPr>
      <w:bookmarkStart w:id="249" w:name="_Toc194324274"/>
      <w:r w:rsidRPr="00C53FE2">
        <w:rPr>
          <w:rFonts w:eastAsia="DengXian Light"/>
        </w:rPr>
        <w:lastRenderedPageBreak/>
        <w:t>Taft College CPG, Pell, and AB540 Students</w:t>
      </w:r>
      <w:bookmarkEnd w:id="248"/>
      <w:bookmarkEnd w:id="249"/>
    </w:p>
    <w:p w14:paraId="5F6B2186" w14:textId="77777777" w:rsidR="001509DE" w:rsidRPr="001509DE" w:rsidRDefault="001509DE" w:rsidP="001509DE">
      <w:pPr>
        <w:rPr>
          <w:rFonts w:eastAsia="DengXian Light"/>
        </w:rPr>
      </w:pPr>
    </w:p>
    <w:p w14:paraId="4ED77E5B" w14:textId="77777777" w:rsidR="00527759" w:rsidRPr="00C53FE2" w:rsidRDefault="00527759" w:rsidP="00527759">
      <w:pPr>
        <w:tabs>
          <w:tab w:val="left" w:pos="1880"/>
        </w:tabs>
        <w:jc w:val="center"/>
        <w:rPr>
          <w:rFonts w:ascii="Calibri" w:hAnsi="Calibri"/>
        </w:rPr>
      </w:pPr>
      <w:r w:rsidRPr="008546DD">
        <w:rPr>
          <w:rFonts w:ascii="Calibri" w:hAnsi="Calibri"/>
          <w:noProof/>
        </w:rPr>
        <w:drawing>
          <wp:inline distT="0" distB="0" distL="0" distR="0" wp14:anchorId="60135552" wp14:editId="60BD224C">
            <wp:extent cx="4629814" cy="4045116"/>
            <wp:effectExtent l="0" t="0" r="0" b="0"/>
            <wp:docPr id="589122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22689" name=""/>
                    <pic:cNvPicPr/>
                  </pic:nvPicPr>
                  <pic:blipFill>
                    <a:blip r:embed="rId90"/>
                    <a:stretch>
                      <a:fillRect/>
                    </a:stretch>
                  </pic:blipFill>
                  <pic:spPr>
                    <a:xfrm>
                      <a:off x="0" y="0"/>
                      <a:ext cx="4641709" cy="4055508"/>
                    </a:xfrm>
                    <a:prstGeom prst="rect">
                      <a:avLst/>
                    </a:prstGeom>
                  </pic:spPr>
                </pic:pic>
              </a:graphicData>
            </a:graphic>
          </wp:inline>
        </w:drawing>
      </w:r>
    </w:p>
    <w:p w14:paraId="3C174D63" w14:textId="686BE49B" w:rsidR="00527759" w:rsidRPr="009933DC" w:rsidRDefault="00527759" w:rsidP="00527759">
      <w:pPr>
        <w:tabs>
          <w:tab w:val="left" w:pos="1880"/>
        </w:tabs>
        <w:rPr>
          <w:rFonts w:ascii="Calibri" w:hAnsi="Calibri"/>
          <w:i/>
          <w:iCs/>
          <w:color w:val="0563C1"/>
          <w:sz w:val="20"/>
          <w:szCs w:val="20"/>
          <w:u w:val="single"/>
        </w:rPr>
      </w:pPr>
      <w:r w:rsidRPr="009933DC">
        <w:rPr>
          <w:rFonts w:ascii="Calibri" w:hAnsi="Calibri"/>
          <w:i/>
          <w:iCs/>
          <w:sz w:val="20"/>
          <w:szCs w:val="20"/>
        </w:rPr>
        <w:t xml:space="preserve">Source: CCCCO SCFF </w:t>
      </w:r>
      <w:hyperlink r:id="rId91" w:history="1">
        <w:r w:rsidRPr="009933DC">
          <w:rPr>
            <w:rFonts w:ascii="Calibri" w:hAnsi="Calibri"/>
            <w:i/>
            <w:iCs/>
            <w:color w:val="0563C1"/>
            <w:sz w:val="20"/>
            <w:szCs w:val="20"/>
            <w:u w:val="single"/>
          </w:rPr>
          <w:t>Dashboard</w:t>
        </w:r>
      </w:hyperlink>
      <w:r w:rsidR="002E038F">
        <w:rPr>
          <w:rFonts w:ascii="Calibri" w:hAnsi="Calibri"/>
          <w:i/>
          <w:iCs/>
          <w:color w:val="0563C1"/>
          <w:sz w:val="20"/>
          <w:szCs w:val="20"/>
          <w:u w:val="single"/>
        </w:rPr>
        <w:t>.</w:t>
      </w:r>
    </w:p>
    <w:p w14:paraId="6500B11E" w14:textId="1D6C2996" w:rsidR="00527759" w:rsidRPr="00FC1891" w:rsidRDefault="00527759" w:rsidP="009933DC">
      <w:pPr>
        <w:tabs>
          <w:tab w:val="left" w:pos="1880"/>
        </w:tabs>
        <w:jc w:val="center"/>
        <w:rPr>
          <w:rFonts w:ascii="Calibri" w:hAnsi="Calibri"/>
          <w:color w:val="4472C4" w:themeColor="accent1"/>
          <w:sz w:val="24"/>
        </w:rPr>
      </w:pPr>
      <w:r w:rsidRPr="00FC1891">
        <w:rPr>
          <w:rFonts w:ascii="Calibri" w:hAnsi="Calibri"/>
          <w:color w:val="4472C4" w:themeColor="accent1"/>
          <w:sz w:val="24"/>
        </w:rPr>
        <w:t>Statewide and Taft Compared, 2023-2024</w:t>
      </w:r>
    </w:p>
    <w:tbl>
      <w:tblPr>
        <w:tblStyle w:val="TableGrid"/>
        <w:tblW w:w="0" w:type="auto"/>
        <w:jc w:val="center"/>
        <w:tblLook w:val="04A0" w:firstRow="1" w:lastRow="0" w:firstColumn="1" w:lastColumn="0" w:noHBand="0" w:noVBand="1"/>
      </w:tblPr>
      <w:tblGrid>
        <w:gridCol w:w="2501"/>
        <w:gridCol w:w="2502"/>
        <w:gridCol w:w="2502"/>
      </w:tblGrid>
      <w:tr w:rsidR="00527759" w14:paraId="0A4662D7" w14:textId="77777777" w:rsidTr="00B13ECD">
        <w:trPr>
          <w:trHeight w:val="342"/>
          <w:jc w:val="center"/>
        </w:trPr>
        <w:tc>
          <w:tcPr>
            <w:tcW w:w="2501" w:type="dxa"/>
            <w:shd w:val="clear" w:color="auto" w:fill="833C0B" w:themeFill="accent2" w:themeFillShade="80"/>
          </w:tcPr>
          <w:p w14:paraId="6697CA27" w14:textId="77777777" w:rsidR="00527759" w:rsidRPr="00FC1891" w:rsidRDefault="00527759" w:rsidP="00B13ECD">
            <w:pPr>
              <w:tabs>
                <w:tab w:val="left" w:pos="1880"/>
              </w:tabs>
              <w:rPr>
                <w:rFonts w:ascii="Calibri" w:hAnsi="Calibri"/>
                <w:b/>
                <w:bCs/>
                <w:color w:val="FFFFFF" w:themeColor="background1"/>
              </w:rPr>
            </w:pPr>
          </w:p>
        </w:tc>
        <w:tc>
          <w:tcPr>
            <w:tcW w:w="2502" w:type="dxa"/>
            <w:shd w:val="clear" w:color="auto" w:fill="833C0B" w:themeFill="accent2" w:themeFillShade="80"/>
          </w:tcPr>
          <w:p w14:paraId="6833167A" w14:textId="77777777" w:rsidR="00527759" w:rsidRPr="00FC1891" w:rsidRDefault="00527759" w:rsidP="00B13ECD">
            <w:pPr>
              <w:tabs>
                <w:tab w:val="left" w:pos="1880"/>
              </w:tabs>
              <w:jc w:val="center"/>
              <w:rPr>
                <w:rFonts w:ascii="Calibri" w:hAnsi="Calibri"/>
                <w:b/>
                <w:bCs/>
                <w:color w:val="FFFFFF" w:themeColor="background1"/>
              </w:rPr>
            </w:pPr>
            <w:r w:rsidRPr="00FC1891">
              <w:rPr>
                <w:rFonts w:ascii="Calibri" w:hAnsi="Calibri"/>
                <w:b/>
                <w:bCs/>
                <w:color w:val="FFFFFF" w:themeColor="background1"/>
              </w:rPr>
              <w:t>CCCs</w:t>
            </w:r>
          </w:p>
        </w:tc>
        <w:tc>
          <w:tcPr>
            <w:tcW w:w="2502" w:type="dxa"/>
            <w:shd w:val="clear" w:color="auto" w:fill="833C0B" w:themeFill="accent2" w:themeFillShade="80"/>
          </w:tcPr>
          <w:p w14:paraId="0AF23E22" w14:textId="77777777" w:rsidR="00527759" w:rsidRPr="00FC1891" w:rsidRDefault="00527759" w:rsidP="00B13ECD">
            <w:pPr>
              <w:tabs>
                <w:tab w:val="left" w:pos="1880"/>
              </w:tabs>
              <w:jc w:val="center"/>
              <w:rPr>
                <w:rFonts w:ascii="Calibri" w:hAnsi="Calibri"/>
                <w:b/>
                <w:bCs/>
                <w:color w:val="FFFFFF" w:themeColor="background1"/>
              </w:rPr>
            </w:pPr>
            <w:r w:rsidRPr="00FC1891">
              <w:rPr>
                <w:rFonts w:ascii="Calibri" w:hAnsi="Calibri"/>
                <w:b/>
                <w:bCs/>
                <w:color w:val="FFFFFF" w:themeColor="background1"/>
              </w:rPr>
              <w:t>Taft College</w:t>
            </w:r>
          </w:p>
        </w:tc>
      </w:tr>
      <w:tr w:rsidR="00527759" w14:paraId="33C8618A" w14:textId="77777777" w:rsidTr="00B13ECD">
        <w:trPr>
          <w:trHeight w:val="335"/>
          <w:jc w:val="center"/>
        </w:trPr>
        <w:tc>
          <w:tcPr>
            <w:tcW w:w="2501" w:type="dxa"/>
          </w:tcPr>
          <w:p w14:paraId="494A8655" w14:textId="77777777" w:rsidR="00527759" w:rsidRPr="00B138D7" w:rsidRDefault="00527759" w:rsidP="00B13ECD">
            <w:pPr>
              <w:tabs>
                <w:tab w:val="left" w:pos="1880"/>
              </w:tabs>
              <w:rPr>
                <w:rFonts w:ascii="Calibri" w:hAnsi="Calibri"/>
              </w:rPr>
            </w:pPr>
            <w:r w:rsidRPr="00B138D7">
              <w:rPr>
                <w:rFonts w:ascii="Calibri" w:hAnsi="Calibri"/>
              </w:rPr>
              <w:t>Promise Grant Recipients</w:t>
            </w:r>
          </w:p>
        </w:tc>
        <w:tc>
          <w:tcPr>
            <w:tcW w:w="2502" w:type="dxa"/>
          </w:tcPr>
          <w:p w14:paraId="4B103582" w14:textId="77777777" w:rsidR="00527759" w:rsidRPr="00B138D7" w:rsidRDefault="00527759" w:rsidP="00B13ECD">
            <w:pPr>
              <w:tabs>
                <w:tab w:val="left" w:pos="1880"/>
              </w:tabs>
              <w:rPr>
                <w:rFonts w:ascii="Calibri" w:hAnsi="Calibri"/>
              </w:rPr>
            </w:pPr>
            <w:r w:rsidRPr="00B138D7">
              <w:rPr>
                <w:rFonts w:ascii="Calibri" w:hAnsi="Calibri"/>
              </w:rPr>
              <w:t>36.7%</w:t>
            </w:r>
          </w:p>
        </w:tc>
        <w:tc>
          <w:tcPr>
            <w:tcW w:w="2502" w:type="dxa"/>
          </w:tcPr>
          <w:p w14:paraId="47E192C5" w14:textId="77777777" w:rsidR="00527759" w:rsidRPr="00B138D7" w:rsidRDefault="00527759" w:rsidP="00B13ECD">
            <w:pPr>
              <w:tabs>
                <w:tab w:val="left" w:pos="1880"/>
              </w:tabs>
              <w:rPr>
                <w:rFonts w:ascii="Calibri" w:hAnsi="Calibri"/>
              </w:rPr>
            </w:pPr>
            <w:r w:rsidRPr="00B138D7">
              <w:rPr>
                <w:rFonts w:ascii="Calibri" w:hAnsi="Calibri"/>
              </w:rPr>
              <w:t>30.0%</w:t>
            </w:r>
          </w:p>
        </w:tc>
      </w:tr>
      <w:tr w:rsidR="00527759" w14:paraId="7262DEDB" w14:textId="77777777" w:rsidTr="00B13ECD">
        <w:trPr>
          <w:trHeight w:val="342"/>
          <w:jc w:val="center"/>
        </w:trPr>
        <w:tc>
          <w:tcPr>
            <w:tcW w:w="2501" w:type="dxa"/>
            <w:shd w:val="clear" w:color="auto" w:fill="F4B083" w:themeFill="accent2" w:themeFillTint="99"/>
          </w:tcPr>
          <w:p w14:paraId="2952BA09" w14:textId="77777777" w:rsidR="00527759" w:rsidRPr="00B138D7" w:rsidRDefault="00527759" w:rsidP="00B13ECD">
            <w:pPr>
              <w:tabs>
                <w:tab w:val="left" w:pos="1880"/>
              </w:tabs>
              <w:rPr>
                <w:rFonts w:ascii="Calibri" w:hAnsi="Calibri"/>
              </w:rPr>
            </w:pPr>
            <w:r w:rsidRPr="00B138D7">
              <w:rPr>
                <w:rFonts w:ascii="Calibri" w:hAnsi="Calibri"/>
              </w:rPr>
              <w:t>Pell Grant Recipients</w:t>
            </w:r>
          </w:p>
        </w:tc>
        <w:tc>
          <w:tcPr>
            <w:tcW w:w="2502" w:type="dxa"/>
            <w:shd w:val="clear" w:color="auto" w:fill="F4B083" w:themeFill="accent2" w:themeFillTint="99"/>
          </w:tcPr>
          <w:p w14:paraId="65B7A902" w14:textId="77777777" w:rsidR="00527759" w:rsidRPr="00B138D7" w:rsidRDefault="00527759" w:rsidP="00B13ECD">
            <w:pPr>
              <w:tabs>
                <w:tab w:val="left" w:pos="1880"/>
              </w:tabs>
              <w:rPr>
                <w:rFonts w:ascii="Calibri" w:hAnsi="Calibri"/>
              </w:rPr>
            </w:pPr>
            <w:r w:rsidRPr="00B138D7">
              <w:rPr>
                <w:rFonts w:ascii="Calibri" w:hAnsi="Calibri"/>
              </w:rPr>
              <w:t>19.3%</w:t>
            </w:r>
          </w:p>
        </w:tc>
        <w:tc>
          <w:tcPr>
            <w:tcW w:w="2502" w:type="dxa"/>
            <w:shd w:val="clear" w:color="auto" w:fill="F4B083" w:themeFill="accent2" w:themeFillTint="99"/>
          </w:tcPr>
          <w:p w14:paraId="51DBA557" w14:textId="77777777" w:rsidR="00527759" w:rsidRPr="00B138D7" w:rsidRDefault="00527759" w:rsidP="00B13ECD">
            <w:pPr>
              <w:tabs>
                <w:tab w:val="left" w:pos="1880"/>
              </w:tabs>
              <w:rPr>
                <w:rFonts w:ascii="Calibri" w:hAnsi="Calibri"/>
              </w:rPr>
            </w:pPr>
            <w:r w:rsidRPr="00B138D7">
              <w:rPr>
                <w:rFonts w:ascii="Calibri" w:hAnsi="Calibri"/>
              </w:rPr>
              <w:t>15.3%</w:t>
            </w:r>
          </w:p>
        </w:tc>
      </w:tr>
      <w:tr w:rsidR="00527759" w14:paraId="4558F7F3" w14:textId="77777777" w:rsidTr="00B13ECD">
        <w:trPr>
          <w:trHeight w:val="342"/>
          <w:jc w:val="center"/>
        </w:trPr>
        <w:tc>
          <w:tcPr>
            <w:tcW w:w="2501" w:type="dxa"/>
          </w:tcPr>
          <w:p w14:paraId="560C791C" w14:textId="77777777" w:rsidR="00527759" w:rsidRPr="00B138D7" w:rsidRDefault="00527759" w:rsidP="00B13ECD">
            <w:pPr>
              <w:tabs>
                <w:tab w:val="left" w:pos="1880"/>
              </w:tabs>
              <w:rPr>
                <w:rFonts w:ascii="Calibri" w:hAnsi="Calibri"/>
              </w:rPr>
            </w:pPr>
            <w:r w:rsidRPr="00B138D7">
              <w:rPr>
                <w:rFonts w:ascii="Calibri" w:hAnsi="Calibri"/>
              </w:rPr>
              <w:t>AB540 Students</w:t>
            </w:r>
          </w:p>
        </w:tc>
        <w:tc>
          <w:tcPr>
            <w:tcW w:w="2502" w:type="dxa"/>
          </w:tcPr>
          <w:p w14:paraId="378F0342" w14:textId="77777777" w:rsidR="00527759" w:rsidRPr="00B138D7" w:rsidRDefault="00527759" w:rsidP="00B13ECD">
            <w:pPr>
              <w:tabs>
                <w:tab w:val="left" w:pos="1880"/>
              </w:tabs>
              <w:rPr>
                <w:rFonts w:ascii="Calibri" w:hAnsi="Calibri"/>
              </w:rPr>
            </w:pPr>
            <w:r w:rsidRPr="00B138D7">
              <w:rPr>
                <w:rFonts w:ascii="Calibri" w:hAnsi="Calibri"/>
              </w:rPr>
              <w:t>2.3%</w:t>
            </w:r>
          </w:p>
        </w:tc>
        <w:tc>
          <w:tcPr>
            <w:tcW w:w="2502" w:type="dxa"/>
          </w:tcPr>
          <w:p w14:paraId="047CDDE3" w14:textId="77777777" w:rsidR="00527759" w:rsidRPr="00B138D7" w:rsidRDefault="00527759" w:rsidP="00B13ECD">
            <w:pPr>
              <w:tabs>
                <w:tab w:val="left" w:pos="1880"/>
              </w:tabs>
              <w:rPr>
                <w:rFonts w:ascii="Calibri" w:hAnsi="Calibri"/>
              </w:rPr>
            </w:pPr>
            <w:r w:rsidRPr="00B138D7">
              <w:rPr>
                <w:rFonts w:ascii="Calibri" w:hAnsi="Calibri"/>
              </w:rPr>
              <w:t>1.5%</w:t>
            </w:r>
          </w:p>
        </w:tc>
      </w:tr>
    </w:tbl>
    <w:p w14:paraId="012CFEBF" w14:textId="0E2DFF4E" w:rsidR="00527759" w:rsidRPr="009933DC" w:rsidRDefault="00527759" w:rsidP="00527759">
      <w:pPr>
        <w:tabs>
          <w:tab w:val="left" w:pos="1880"/>
        </w:tabs>
        <w:rPr>
          <w:rFonts w:ascii="Calibri" w:hAnsi="Calibri"/>
          <w:i/>
          <w:iCs/>
          <w:color w:val="0563C1"/>
          <w:sz w:val="20"/>
          <w:szCs w:val="20"/>
          <w:u w:val="single"/>
        </w:rPr>
      </w:pPr>
      <w:r w:rsidRPr="009933DC">
        <w:rPr>
          <w:rFonts w:ascii="Calibri" w:hAnsi="Calibri"/>
          <w:i/>
          <w:iCs/>
          <w:sz w:val="20"/>
          <w:szCs w:val="20"/>
        </w:rPr>
        <w:t xml:space="preserve">Source: CCCCO SCFF </w:t>
      </w:r>
      <w:hyperlink r:id="rId92" w:history="1">
        <w:r w:rsidRPr="009933DC">
          <w:rPr>
            <w:rFonts w:ascii="Calibri" w:hAnsi="Calibri"/>
            <w:i/>
            <w:iCs/>
            <w:color w:val="0563C1"/>
            <w:sz w:val="20"/>
            <w:szCs w:val="20"/>
            <w:u w:val="single"/>
          </w:rPr>
          <w:t>Dashboard</w:t>
        </w:r>
      </w:hyperlink>
      <w:r w:rsidR="002E038F">
        <w:rPr>
          <w:rFonts w:ascii="Calibri" w:hAnsi="Calibri"/>
          <w:i/>
          <w:iCs/>
          <w:color w:val="0563C1"/>
          <w:sz w:val="20"/>
          <w:szCs w:val="20"/>
          <w:u w:val="single"/>
        </w:rPr>
        <w:t>.</w:t>
      </w:r>
    </w:p>
    <w:p w14:paraId="36359438" w14:textId="77777777" w:rsidR="00527759" w:rsidRPr="00C53FE2" w:rsidRDefault="00527759" w:rsidP="00527759">
      <w:pPr>
        <w:tabs>
          <w:tab w:val="left" w:pos="1880"/>
        </w:tabs>
        <w:rPr>
          <w:rFonts w:ascii="Calibri" w:hAnsi="Calibri"/>
          <w:i/>
          <w:iCs/>
        </w:rPr>
      </w:pPr>
    </w:p>
    <w:p w14:paraId="4083EFFA" w14:textId="340B2B76" w:rsidR="00527759" w:rsidRDefault="00527759" w:rsidP="00527759">
      <w:pPr>
        <w:rPr>
          <w:rFonts w:ascii="Calibri" w:hAnsi="Calibri"/>
        </w:rPr>
      </w:pPr>
      <w:r w:rsidRPr="00C53FE2">
        <w:rPr>
          <w:rFonts w:ascii="Calibri" w:hAnsi="Calibri"/>
        </w:rPr>
        <w:t xml:space="preserve">As enrollment decreased at Taft College (including </w:t>
      </w:r>
      <w:r w:rsidR="00CE7648">
        <w:rPr>
          <w:rFonts w:ascii="Calibri" w:hAnsi="Calibri"/>
        </w:rPr>
        <w:t>WESTEC</w:t>
      </w:r>
      <w:r w:rsidRPr="00C53FE2">
        <w:rPr>
          <w:rFonts w:ascii="Calibri" w:hAnsi="Calibri"/>
        </w:rPr>
        <w:t xml:space="preserve">) in </w:t>
      </w:r>
      <w:r>
        <w:rPr>
          <w:rFonts w:ascii="Calibri" w:hAnsi="Calibri"/>
        </w:rPr>
        <w:t xml:space="preserve">the early </w:t>
      </w:r>
      <w:r w:rsidRPr="00C53FE2">
        <w:rPr>
          <w:rFonts w:ascii="Calibri" w:hAnsi="Calibri"/>
        </w:rPr>
        <w:t>2020</w:t>
      </w:r>
      <w:r>
        <w:rPr>
          <w:rFonts w:ascii="Calibri" w:hAnsi="Calibri"/>
        </w:rPr>
        <w:t>s</w:t>
      </w:r>
      <w:r w:rsidRPr="00C53FE2">
        <w:rPr>
          <w:rFonts w:ascii="Calibri" w:hAnsi="Calibri"/>
        </w:rPr>
        <w:t xml:space="preserve"> due to the </w:t>
      </w:r>
      <w:r w:rsidR="00BC2144">
        <w:rPr>
          <w:rFonts w:ascii="Calibri" w:hAnsi="Calibri"/>
        </w:rPr>
        <w:t>COVID-19 pandemic</w:t>
      </w:r>
      <w:r w:rsidRPr="00C53FE2">
        <w:rPr>
          <w:rFonts w:ascii="Calibri" w:hAnsi="Calibri"/>
        </w:rPr>
        <w:t xml:space="preserve">, so did the number of students receiving Promise and Pell grants, and the number of undocumented students afforded in-state status for tuition purposes. As colleges receive additional funding for these categories of students, especially if they achieve identified outcomes, it is important for the </w:t>
      </w:r>
      <w:r w:rsidR="009933DC">
        <w:rPr>
          <w:rFonts w:ascii="Calibri" w:hAnsi="Calibri"/>
        </w:rPr>
        <w:t>C</w:t>
      </w:r>
      <w:r w:rsidRPr="00C53FE2">
        <w:rPr>
          <w:rFonts w:ascii="Calibri" w:hAnsi="Calibri"/>
        </w:rPr>
        <w:t xml:space="preserve">ollege to ensure eligible students apply and are awarded. </w:t>
      </w:r>
    </w:p>
    <w:p w14:paraId="209A21A3" w14:textId="77777777" w:rsidR="00527759" w:rsidRDefault="00527759" w:rsidP="00527759">
      <w:pPr>
        <w:rPr>
          <w:rFonts w:ascii="Calibri" w:hAnsi="Calibri"/>
        </w:rPr>
      </w:pPr>
      <w:r>
        <w:rPr>
          <w:rFonts w:ascii="Calibri" w:hAnsi="Calibri"/>
        </w:rPr>
        <w:t>Compared to all California Community Colleges, Taft has slightly lower rates of Promise and Pell grants awarded, and slightly fewer AB540 students.</w:t>
      </w:r>
    </w:p>
    <w:p w14:paraId="54093F8F" w14:textId="77777777" w:rsidR="00527759" w:rsidRDefault="00527759" w:rsidP="00527759">
      <w:pPr>
        <w:rPr>
          <w:rFonts w:ascii="Calibri" w:hAnsi="Calibri"/>
        </w:rPr>
      </w:pPr>
    </w:p>
    <w:p w14:paraId="01D82685" w14:textId="77777777" w:rsidR="00527759" w:rsidRDefault="00527759" w:rsidP="00527759">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5C4A806D" w14:textId="68D97633" w:rsidR="00527759" w:rsidRPr="00F20D6C" w:rsidRDefault="00527759" w:rsidP="00F16EFC">
      <w:r w:rsidRPr="00F20D6C">
        <w:lastRenderedPageBreak/>
        <w:t>Student Outcomes</w:t>
      </w:r>
      <w:r w:rsidR="00816B2E">
        <w:t>: Educational Journey</w:t>
      </w:r>
    </w:p>
    <w:p w14:paraId="312DB3B6" w14:textId="101C0B40" w:rsidR="00527759" w:rsidRDefault="00527759" w:rsidP="007328B8">
      <w:pPr>
        <w:rPr>
          <w:rFonts w:eastAsia="DengXian Light"/>
        </w:rPr>
      </w:pPr>
      <w:bookmarkStart w:id="250" w:name="_Toc168762749"/>
      <w:bookmarkStart w:id="251" w:name="_Toc194324276"/>
      <w:r w:rsidRPr="00F20D6C">
        <w:rPr>
          <w:rFonts w:eastAsia="DengXian Light"/>
        </w:rPr>
        <w:t xml:space="preserve">Student Outcomes: Students by Educational Journey, CCCCO </w:t>
      </w:r>
      <w:bookmarkEnd w:id="250"/>
      <w:r w:rsidR="00C11723">
        <w:rPr>
          <w:rFonts w:eastAsia="DengXian Light"/>
        </w:rPr>
        <w:t>DataVista 2022-2023</w:t>
      </w:r>
      <w:bookmarkEnd w:id="251"/>
    </w:p>
    <w:p w14:paraId="68546DB3" w14:textId="77777777" w:rsidR="001509DE" w:rsidRPr="001509DE" w:rsidRDefault="001509DE" w:rsidP="001509DE">
      <w:pPr>
        <w:rPr>
          <w:rFonts w:eastAsia="DengXian Light"/>
        </w:rPr>
      </w:pPr>
    </w:p>
    <w:p w14:paraId="41541CFE" w14:textId="1BF5D915" w:rsidR="00527759" w:rsidRPr="00F20D6C" w:rsidRDefault="00D83F23" w:rsidP="00527759">
      <w:pPr>
        <w:rPr>
          <w:rFonts w:ascii="Calibri" w:hAnsi="Calibri"/>
          <w:i/>
          <w:iCs/>
          <w:sz w:val="20"/>
          <w:szCs w:val="20"/>
        </w:rPr>
      </w:pPr>
      <w:r>
        <w:rPr>
          <w:rFonts w:ascii="Calibri Light"/>
          <w:noProof/>
          <w:sz w:val="20"/>
        </w:rPr>
        <w:drawing>
          <wp:inline distT="0" distB="0" distL="0" distR="0" wp14:anchorId="1610DA5C" wp14:editId="5A313AE4">
            <wp:extent cx="6400800" cy="1890395"/>
            <wp:effectExtent l="0" t="0" r="0" b="0"/>
            <wp:docPr id="1892817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0" cy="1890395"/>
                    </a:xfrm>
                    <a:prstGeom prst="rect">
                      <a:avLst/>
                    </a:prstGeom>
                    <a:noFill/>
                  </pic:spPr>
                </pic:pic>
              </a:graphicData>
            </a:graphic>
          </wp:inline>
        </w:drawing>
      </w:r>
    </w:p>
    <w:p w14:paraId="52E907E0" w14:textId="03AC406F" w:rsidR="00527759" w:rsidRPr="00F20D6C" w:rsidRDefault="00527759" w:rsidP="002E038F">
      <w:pPr>
        <w:rPr>
          <w:rFonts w:ascii="Calibri" w:hAnsi="Calibri"/>
          <w:i/>
          <w:iCs/>
          <w:sz w:val="20"/>
          <w:szCs w:val="20"/>
        </w:rPr>
      </w:pPr>
      <w:r w:rsidRPr="00F20D6C">
        <w:rPr>
          <w:rFonts w:ascii="Calibri" w:hAnsi="Calibri"/>
          <w:i/>
          <w:iCs/>
          <w:sz w:val="20"/>
          <w:szCs w:val="20"/>
        </w:rPr>
        <w:t xml:space="preserve">Source: </w:t>
      </w:r>
      <w:hyperlink r:id="rId94" w:history="1">
        <w:r w:rsidRPr="00F20D6C">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hyperlink>
      <w:r w:rsidR="002E038F">
        <w:rPr>
          <w:rFonts w:ascii="Calibri" w:hAnsi="Calibri"/>
          <w:i/>
          <w:iCs/>
          <w:color w:val="0563C1"/>
          <w:sz w:val="20"/>
          <w:szCs w:val="20"/>
          <w:u w:val="single"/>
        </w:rPr>
        <w:t>.</w:t>
      </w:r>
    </w:p>
    <w:p w14:paraId="50E000C7" w14:textId="0F26A730" w:rsidR="00527759" w:rsidRPr="00F20D6C" w:rsidRDefault="00527759" w:rsidP="00527759">
      <w:pPr>
        <w:rPr>
          <w:rFonts w:ascii="Calibri" w:hAnsi="Calibri"/>
        </w:rPr>
      </w:pPr>
      <w:r w:rsidRPr="00F20D6C">
        <w:rPr>
          <w:rFonts w:ascii="Calibri" w:hAnsi="Calibri"/>
        </w:rPr>
        <w:t xml:space="preserve">Compared to regional community colleges and all CCCs statewide, Taft has a much larger proportion of short-term CTE and much smaller proportions of Degree/Transfer, Undecided/Other, and Adult </w:t>
      </w:r>
      <w:r w:rsidR="007E1533">
        <w:rPr>
          <w:rFonts w:ascii="Calibri" w:hAnsi="Calibri"/>
        </w:rPr>
        <w:t>Education</w:t>
      </w:r>
      <w:r w:rsidRPr="00F20D6C">
        <w:rPr>
          <w:rFonts w:ascii="Calibri" w:hAnsi="Calibri"/>
        </w:rPr>
        <w:t xml:space="preserve">. This is likely due to the relatively large population of short-term CTE students served at the </w:t>
      </w:r>
      <w:r w:rsidR="00CE7648">
        <w:rPr>
          <w:rFonts w:ascii="Calibri" w:hAnsi="Calibri"/>
        </w:rPr>
        <w:t>WESTEC</w:t>
      </w:r>
      <w:r w:rsidRPr="00F20D6C">
        <w:rPr>
          <w:rFonts w:ascii="Calibri" w:hAnsi="Calibri"/>
        </w:rPr>
        <w:t xml:space="preserve"> facility.</w:t>
      </w:r>
    </w:p>
    <w:p w14:paraId="3C8ABB6B" w14:textId="431B61B7" w:rsidR="00527759" w:rsidRPr="00F20D6C" w:rsidRDefault="00527759" w:rsidP="00527759">
      <w:pPr>
        <w:rPr>
          <w:rFonts w:ascii="Calibri" w:hAnsi="Calibri"/>
        </w:rPr>
      </w:pPr>
      <w:r w:rsidRPr="00F20D6C">
        <w:rPr>
          <w:rFonts w:ascii="Calibri" w:hAnsi="Calibri"/>
        </w:rPr>
        <w:t xml:space="preserve">For this reason, it is important to consider Taft students (including </w:t>
      </w:r>
      <w:r w:rsidR="00CE7648">
        <w:rPr>
          <w:rFonts w:ascii="Calibri" w:hAnsi="Calibri"/>
        </w:rPr>
        <w:t>WESTEC</w:t>
      </w:r>
      <w:r w:rsidRPr="00F20D6C">
        <w:rPr>
          <w:rFonts w:ascii="Calibri" w:hAnsi="Calibri"/>
        </w:rPr>
        <w:t>) by educational journey when assessing outcomes. The following charts present outcomes data by student journey.</w:t>
      </w:r>
    </w:p>
    <w:p w14:paraId="3144CBA4" w14:textId="58C5C83B" w:rsidR="00527759" w:rsidRPr="00F20D6C" w:rsidRDefault="00527759" w:rsidP="00527759">
      <w:pPr>
        <w:rPr>
          <w:rFonts w:ascii="Times New Roman" w:hAnsi="Times New Roman"/>
        </w:rPr>
      </w:pPr>
      <w:r w:rsidRPr="00F20D6C">
        <w:rPr>
          <w:rFonts w:ascii="Calibri" w:hAnsi="Calibri"/>
        </w:rPr>
        <w:t xml:space="preserve">In the CCCCO </w:t>
      </w:r>
      <w:r w:rsidR="006073A2">
        <w:rPr>
          <w:rFonts w:ascii="Calibri" w:hAnsi="Calibri"/>
        </w:rPr>
        <w:t>DataVista,</w:t>
      </w:r>
      <w:r w:rsidRPr="00F20D6C">
        <w:rPr>
          <w:rFonts w:ascii="Calibri" w:hAnsi="Calibri"/>
        </w:rPr>
        <w:t xml:space="preserve"> the regional comparison group for Taft College includes Clovis Community College, Fresno City College, Reedley College, College of the Sequoias, West Hills Colleges, Porterville College, and Bakersfield College.</w:t>
      </w:r>
    </w:p>
    <w:p w14:paraId="37452F44" w14:textId="77777777" w:rsidR="00527759" w:rsidRDefault="00527759" w:rsidP="00527759">
      <w:pPr>
        <w:rPr>
          <w:rFonts w:ascii="Calibri" w:hAnsi="Calibri"/>
        </w:rPr>
      </w:pPr>
      <w:bookmarkStart w:id="252" w:name="_Toc168762755"/>
      <w:r>
        <w:rPr>
          <w:rFonts w:ascii="Calibri" w:hAnsi="Calibri"/>
        </w:rPr>
        <w:br w:type="page"/>
      </w:r>
    </w:p>
    <w:p w14:paraId="743311A0" w14:textId="77777777" w:rsidR="00527759" w:rsidRDefault="00527759" w:rsidP="00527759">
      <w:pPr>
        <w:pStyle w:val="Heading2"/>
        <w:rPr>
          <w:i/>
          <w:iCs/>
        </w:rPr>
      </w:pPr>
      <w:bookmarkStart w:id="253" w:name="_Toc194931271"/>
      <w:bookmarkStart w:id="254" w:name="_Toc194931596"/>
      <w:r w:rsidRPr="00F20D6C">
        <w:lastRenderedPageBreak/>
        <w:t>Student Outcomes: Degree/Transfer Students</w:t>
      </w:r>
      <w:bookmarkEnd w:id="252"/>
      <w:r w:rsidRPr="00F20D6C">
        <w:t xml:space="preserve"> </w:t>
      </w:r>
      <w:r w:rsidRPr="00F20D6C">
        <w:rPr>
          <w:i/>
          <w:iCs/>
        </w:rPr>
        <w:t>(primarily Taft campus)</w:t>
      </w:r>
      <w:bookmarkEnd w:id="253"/>
      <w:bookmarkEnd w:id="254"/>
    </w:p>
    <w:p w14:paraId="663823BB" w14:textId="12A0E7E2" w:rsidR="00527759" w:rsidRPr="00B4000A" w:rsidRDefault="00B4000A" w:rsidP="00527759">
      <w:r>
        <w:rPr>
          <w:b/>
          <w:i/>
          <w:noProof/>
          <w:sz w:val="20"/>
        </w:rPr>
        <w:drawing>
          <wp:inline distT="0" distB="0" distL="0" distR="0" wp14:anchorId="7D048C7B" wp14:editId="328E577A">
            <wp:extent cx="6400165" cy="2638425"/>
            <wp:effectExtent l="0" t="0" r="635" b="9525"/>
            <wp:docPr id="15769720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b="13596"/>
                    <a:stretch/>
                  </pic:blipFill>
                  <pic:spPr bwMode="auto">
                    <a:xfrm>
                      <a:off x="0" y="0"/>
                      <a:ext cx="6406650" cy="2641098"/>
                    </a:xfrm>
                    <a:prstGeom prst="rect">
                      <a:avLst/>
                    </a:prstGeom>
                    <a:noFill/>
                    <a:ln>
                      <a:noFill/>
                    </a:ln>
                    <a:extLst>
                      <a:ext uri="{53640926-AAD7-44D8-BBD7-CCE9431645EC}">
                        <a14:shadowObscured xmlns:a14="http://schemas.microsoft.com/office/drawing/2010/main"/>
                      </a:ext>
                    </a:extLst>
                  </pic:spPr>
                </pic:pic>
              </a:graphicData>
            </a:graphic>
          </wp:inline>
        </w:drawing>
      </w:r>
    </w:p>
    <w:p w14:paraId="12BF9979" w14:textId="7861026A" w:rsidR="00527759" w:rsidRPr="00F20D6C" w:rsidRDefault="00527759" w:rsidP="00527759">
      <w:pPr>
        <w:rPr>
          <w:rFonts w:ascii="Calibri" w:hAnsi="Calibri"/>
        </w:rPr>
      </w:pPr>
      <w:r w:rsidRPr="00F20D6C">
        <w:rPr>
          <w:rFonts w:ascii="Calibri" w:hAnsi="Calibri"/>
          <w:i/>
          <w:iCs/>
          <w:sz w:val="20"/>
          <w:szCs w:val="20"/>
        </w:rPr>
        <w:t>Sourc</w:t>
      </w:r>
      <w:r w:rsidR="006073A2">
        <w:rPr>
          <w:rFonts w:ascii="Calibri" w:hAnsi="Calibri"/>
          <w:i/>
          <w:iCs/>
          <w:sz w:val="20"/>
          <w:szCs w:val="20"/>
        </w:rPr>
        <w:t xml:space="preserve">e: </w:t>
      </w:r>
      <w:r w:rsidRPr="00F20D6C">
        <w:rPr>
          <w:rFonts w:ascii="Calibri" w:hAnsi="Calibri"/>
          <w:i/>
          <w:iCs/>
          <w:color w:val="0563C1"/>
          <w:sz w:val="20"/>
          <w:szCs w:val="20"/>
          <w:u w:val="single"/>
        </w:rPr>
        <w:t xml:space="preserve">CCCCO </w:t>
      </w:r>
      <w:proofErr w:type="spellStart"/>
      <w:r w:rsidR="006073A2">
        <w:rPr>
          <w:rFonts w:ascii="Calibri" w:hAnsi="Calibri"/>
          <w:i/>
          <w:iCs/>
          <w:color w:val="0563C1"/>
          <w:sz w:val="20"/>
          <w:szCs w:val="20"/>
          <w:u w:val="single"/>
        </w:rPr>
        <w:t>DatVista</w:t>
      </w:r>
      <w:proofErr w:type="spellEnd"/>
      <w:r w:rsidR="006073A2">
        <w:rPr>
          <w:rFonts w:ascii="Calibri" w:hAnsi="Calibri"/>
          <w:i/>
          <w:iCs/>
          <w:color w:val="0563C1"/>
          <w:sz w:val="20"/>
          <w:szCs w:val="20"/>
          <w:u w:val="single"/>
        </w:rPr>
        <w:t>.</w:t>
      </w:r>
      <w:r w:rsidR="002E038F">
        <w:rPr>
          <w:rFonts w:ascii="Calibri" w:hAnsi="Calibri"/>
          <w:i/>
          <w:iCs/>
          <w:color w:val="0563C1"/>
          <w:sz w:val="20"/>
          <w:szCs w:val="20"/>
          <w:u w:val="single"/>
        </w:rPr>
        <w:t>.</w:t>
      </w:r>
    </w:p>
    <w:p w14:paraId="5B6F76F2" w14:textId="445454E5" w:rsidR="00527759" w:rsidRPr="00F20D6C" w:rsidRDefault="00527759" w:rsidP="00527759">
      <w:pPr>
        <w:rPr>
          <w:rFonts w:ascii="Calibri" w:hAnsi="Calibri"/>
        </w:rPr>
      </w:pPr>
      <w:r w:rsidRPr="00F20D6C">
        <w:rPr>
          <w:rFonts w:ascii="Calibri" w:hAnsi="Calibri"/>
        </w:rPr>
        <w:t xml:space="preserve">This population should not include </w:t>
      </w:r>
      <w:r w:rsidR="00CE7648">
        <w:rPr>
          <w:rFonts w:ascii="Calibri" w:hAnsi="Calibri"/>
        </w:rPr>
        <w:t>WESTEC</w:t>
      </w:r>
      <w:r w:rsidRPr="00F20D6C">
        <w:rPr>
          <w:rFonts w:ascii="Calibri" w:hAnsi="Calibri"/>
        </w:rPr>
        <w:t xml:space="preserve"> students unless they indicated degree/transfer as their educational goal. This </w:t>
      </w:r>
      <w:proofErr w:type="gramStart"/>
      <w:r w:rsidRPr="00F20D6C">
        <w:rPr>
          <w:rFonts w:ascii="Calibri" w:hAnsi="Calibri"/>
        </w:rPr>
        <w:t>population should</w:t>
      </w:r>
      <w:proofErr w:type="gramEnd"/>
      <w:r w:rsidRPr="00F20D6C">
        <w:rPr>
          <w:rFonts w:ascii="Calibri" w:hAnsi="Calibri"/>
        </w:rPr>
        <w:t xml:space="preserve"> represent the majority of students taking classes at Taft College, not at </w:t>
      </w:r>
      <w:r w:rsidR="00CE7648">
        <w:rPr>
          <w:rFonts w:ascii="Calibri" w:hAnsi="Calibri"/>
        </w:rPr>
        <w:t>WESTEC</w:t>
      </w:r>
      <w:r w:rsidRPr="00F20D6C">
        <w:rPr>
          <w:rFonts w:ascii="Calibri" w:hAnsi="Calibri"/>
        </w:rPr>
        <w:t xml:space="preserve">. It is most likely </w:t>
      </w:r>
      <w:r w:rsidR="00CE7648">
        <w:rPr>
          <w:rFonts w:ascii="Calibri" w:hAnsi="Calibri"/>
        </w:rPr>
        <w:t>WESTEC</w:t>
      </w:r>
      <w:r w:rsidRPr="00F20D6C">
        <w:rPr>
          <w:rFonts w:ascii="Calibri" w:hAnsi="Calibri"/>
        </w:rPr>
        <w:t xml:space="preserve"> students have the educational goal of short-term CTE training, as that is what the </w:t>
      </w:r>
      <w:r w:rsidR="00CE7648">
        <w:rPr>
          <w:rFonts w:ascii="Calibri" w:hAnsi="Calibri"/>
        </w:rPr>
        <w:t>WESTEC</w:t>
      </w:r>
      <w:r w:rsidRPr="00F20D6C">
        <w:rPr>
          <w:rFonts w:ascii="Calibri" w:hAnsi="Calibri"/>
        </w:rPr>
        <w:t xml:space="preserve"> campus provides.</w:t>
      </w:r>
    </w:p>
    <w:p w14:paraId="5E330066" w14:textId="77777777" w:rsidR="00527759" w:rsidRDefault="00527759" w:rsidP="00527759">
      <w:pPr>
        <w:rPr>
          <w:rFonts w:ascii="Calibri" w:hAnsi="Calibri"/>
        </w:rPr>
      </w:pPr>
      <w:r w:rsidRPr="00F20D6C">
        <w:rPr>
          <w:rFonts w:ascii="Calibri" w:hAnsi="Calibri"/>
        </w:rPr>
        <w:t>The number of Taft students with the educational goal of degree/transfer has fluctuated over the past seven years, peaking between 2017 and 2020 at about 4,000</w:t>
      </w:r>
      <w:bookmarkStart w:id="255" w:name="_Toc168762756"/>
      <w:r>
        <w:rPr>
          <w:rFonts w:ascii="Calibri" w:hAnsi="Calibri"/>
        </w:rPr>
        <w:t>.</w:t>
      </w:r>
    </w:p>
    <w:p w14:paraId="2C22E105" w14:textId="73AC547F" w:rsidR="00B4000A" w:rsidRDefault="00B4000A" w:rsidP="00527759">
      <w:pPr>
        <w:rPr>
          <w:rFonts w:ascii="Calibri" w:hAnsi="Calibri"/>
        </w:rPr>
      </w:pPr>
      <w:r>
        <w:rPr>
          <w:i/>
          <w:noProof/>
          <w:color w:val="0563C1"/>
          <w:spacing w:val="-2"/>
          <w:sz w:val="20"/>
          <w:u w:val="single" w:color="0563C1"/>
        </w:rPr>
        <w:drawing>
          <wp:inline distT="0" distB="0" distL="0" distR="0" wp14:anchorId="35329209" wp14:editId="70193BE8">
            <wp:extent cx="6400165" cy="3324225"/>
            <wp:effectExtent l="0" t="0" r="635" b="9525"/>
            <wp:docPr id="1800322036" name="Picture 3"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22036" name="Picture 3" descr="A graph of a bar chart&#10;&#10;Description automatically generated with medium confidence"/>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b="15972"/>
                    <a:stretch/>
                  </pic:blipFill>
                  <pic:spPr bwMode="auto">
                    <a:xfrm>
                      <a:off x="0" y="0"/>
                      <a:ext cx="6400808" cy="3324559"/>
                    </a:xfrm>
                    <a:prstGeom prst="rect">
                      <a:avLst/>
                    </a:prstGeom>
                    <a:noFill/>
                    <a:ln>
                      <a:noFill/>
                    </a:ln>
                    <a:extLst>
                      <a:ext uri="{53640926-AAD7-44D8-BBD7-CCE9431645EC}">
                        <a14:shadowObscured xmlns:a14="http://schemas.microsoft.com/office/drawing/2010/main"/>
                      </a:ext>
                    </a:extLst>
                  </pic:spPr>
                </pic:pic>
              </a:graphicData>
            </a:graphic>
          </wp:inline>
        </w:drawing>
      </w:r>
    </w:p>
    <w:p w14:paraId="65A324C4" w14:textId="69DCEA36" w:rsidR="00527759" w:rsidRDefault="00527759" w:rsidP="00527759">
      <w:pPr>
        <w:jc w:val="center"/>
        <w:rPr>
          <w:rFonts w:ascii="Calibri" w:hAnsi="Calibri"/>
        </w:rPr>
      </w:pPr>
    </w:p>
    <w:p w14:paraId="3EC659A1" w14:textId="7CB39ECD" w:rsidR="00527759" w:rsidRPr="00F20D6C" w:rsidRDefault="00527759" w:rsidP="00527759">
      <w:pPr>
        <w:rPr>
          <w:rFonts w:ascii="Calibri" w:hAnsi="Calibri"/>
        </w:rPr>
      </w:pPr>
      <w:r w:rsidRPr="00F20D6C">
        <w:rPr>
          <w:rFonts w:ascii="Calibri" w:hAnsi="Calibri"/>
          <w:i/>
          <w:iCs/>
          <w:sz w:val="20"/>
          <w:szCs w:val="20"/>
        </w:rPr>
        <w:t>Sour</w:t>
      </w:r>
      <w:r w:rsidR="006073A2">
        <w:rPr>
          <w:rFonts w:ascii="Calibri" w:hAnsi="Calibri"/>
          <w:i/>
          <w:iCs/>
          <w:sz w:val="20"/>
          <w:szCs w:val="20"/>
        </w:rPr>
        <w:t xml:space="preserve">ce: </w:t>
      </w:r>
      <w:r w:rsidRPr="00F20D6C">
        <w:rPr>
          <w:rFonts w:ascii="Calibri" w:hAnsi="Calibri"/>
          <w:i/>
          <w:iCs/>
          <w:color w:val="0563C1"/>
          <w:sz w:val="20"/>
          <w:szCs w:val="20"/>
          <w:u w:val="single"/>
        </w:rPr>
        <w:t>CCCCO</w:t>
      </w:r>
      <w:r w:rsidR="006073A2">
        <w:rPr>
          <w:rFonts w:ascii="Calibri" w:hAnsi="Calibri"/>
          <w:i/>
          <w:iCs/>
          <w:color w:val="0563C1"/>
          <w:sz w:val="20"/>
          <w:szCs w:val="20"/>
          <w:u w:val="single"/>
        </w:rPr>
        <w:t xml:space="preserve"> DataVista</w:t>
      </w:r>
      <w:r w:rsidR="002E038F">
        <w:rPr>
          <w:rFonts w:ascii="Calibri" w:hAnsi="Calibri"/>
          <w:i/>
          <w:iCs/>
          <w:color w:val="0563C1"/>
          <w:sz w:val="20"/>
          <w:szCs w:val="20"/>
          <w:u w:val="single"/>
        </w:rPr>
        <w:t>.</w:t>
      </w:r>
    </w:p>
    <w:p w14:paraId="5A695AF1" w14:textId="77777777" w:rsidR="00527759" w:rsidRDefault="00527759" w:rsidP="00527759">
      <w:pPr>
        <w:rPr>
          <w:rFonts w:ascii="Calibri" w:hAnsi="Calibri"/>
        </w:rPr>
      </w:pPr>
      <w:r>
        <w:rPr>
          <w:rFonts w:ascii="Calibri" w:hAnsi="Calibri"/>
        </w:rPr>
        <w:t>The majority of Degree/Transfer students, primarily at the Taft campus, are Latino, followed by White, and smaller proportions of other ethnic groups.</w:t>
      </w:r>
    </w:p>
    <w:p w14:paraId="16D2A725" w14:textId="77777777" w:rsidR="00527759" w:rsidRDefault="00527759" w:rsidP="00527759">
      <w:pPr>
        <w:jc w:val="center"/>
        <w:rPr>
          <w:rFonts w:ascii="Calibri" w:hAnsi="Calibri"/>
        </w:rPr>
      </w:pPr>
      <w:r w:rsidRPr="00F44DE0">
        <w:rPr>
          <w:rFonts w:ascii="Calibri" w:hAnsi="Calibri"/>
          <w:noProof/>
        </w:rPr>
        <w:lastRenderedPageBreak/>
        <w:drawing>
          <wp:inline distT="0" distB="0" distL="0" distR="0" wp14:anchorId="539EBB29" wp14:editId="0B7EFD9F">
            <wp:extent cx="4372114" cy="2209045"/>
            <wp:effectExtent l="0" t="0" r="0" b="1270"/>
            <wp:docPr id="739777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77879" name=""/>
                    <pic:cNvPicPr/>
                  </pic:nvPicPr>
                  <pic:blipFill>
                    <a:blip r:embed="rId97"/>
                    <a:stretch>
                      <a:fillRect/>
                    </a:stretch>
                  </pic:blipFill>
                  <pic:spPr>
                    <a:xfrm>
                      <a:off x="0" y="0"/>
                      <a:ext cx="4386852" cy="2216492"/>
                    </a:xfrm>
                    <a:prstGeom prst="rect">
                      <a:avLst/>
                    </a:prstGeom>
                  </pic:spPr>
                </pic:pic>
              </a:graphicData>
            </a:graphic>
          </wp:inline>
        </w:drawing>
      </w:r>
    </w:p>
    <w:p w14:paraId="2A62F6E2" w14:textId="2795E57B" w:rsidR="00527759" w:rsidRPr="00F20D6C" w:rsidRDefault="00527759" w:rsidP="002E038F">
      <w:pPr>
        <w:rPr>
          <w:rFonts w:ascii="Calibri" w:hAnsi="Calibri"/>
        </w:rPr>
      </w:pPr>
      <w:r w:rsidRPr="00F20D6C">
        <w:rPr>
          <w:rFonts w:ascii="Calibri" w:hAnsi="Calibri"/>
          <w:i/>
          <w:iCs/>
          <w:sz w:val="20"/>
          <w:szCs w:val="20"/>
        </w:rPr>
        <w:t>Sourc</w:t>
      </w:r>
      <w:r w:rsidR="006073A2">
        <w:rPr>
          <w:rFonts w:ascii="Calibri" w:hAnsi="Calibri"/>
          <w:i/>
          <w:iCs/>
          <w:sz w:val="20"/>
          <w:szCs w:val="20"/>
        </w:rPr>
        <w:t xml:space="preserve">e: </w:t>
      </w:r>
      <w:r w:rsidRPr="00F20D6C">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r w:rsidR="002E038F">
        <w:rPr>
          <w:rFonts w:ascii="Calibri" w:hAnsi="Calibri"/>
          <w:i/>
          <w:iCs/>
          <w:color w:val="0563C1"/>
          <w:sz w:val="20"/>
          <w:szCs w:val="20"/>
          <w:u w:val="single"/>
        </w:rPr>
        <w:t>.</w:t>
      </w:r>
    </w:p>
    <w:p w14:paraId="471B4478" w14:textId="331BCA24" w:rsidR="00527759" w:rsidRPr="00CB2591" w:rsidRDefault="00527759" w:rsidP="00CB2591">
      <w:pPr>
        <w:rPr>
          <w:rFonts w:ascii="Calibri" w:hAnsi="Calibri"/>
        </w:rPr>
      </w:pPr>
      <w:r>
        <w:rPr>
          <w:rFonts w:ascii="Calibri" w:hAnsi="Calibri"/>
        </w:rPr>
        <w:t>The majority of Degree/Transfer students, primarily at the Taft campus, are female.</w:t>
      </w:r>
    </w:p>
    <w:p w14:paraId="7C1E9844" w14:textId="77777777" w:rsidR="00527759" w:rsidRPr="007328B8" w:rsidRDefault="00527759" w:rsidP="007328B8">
      <w:pPr>
        <w:rPr>
          <w:rFonts w:eastAsia="DengXian Light"/>
          <w:b/>
          <w:bCs/>
          <w:color w:val="2E74B5" w:themeColor="accent5" w:themeShade="BF"/>
        </w:rPr>
      </w:pPr>
      <w:bookmarkStart w:id="256" w:name="_Toc194324278"/>
      <w:r w:rsidRPr="007328B8">
        <w:rPr>
          <w:rFonts w:eastAsia="DengXian Light"/>
          <w:b/>
          <w:bCs/>
          <w:color w:val="2E74B5" w:themeColor="accent5" w:themeShade="BF"/>
        </w:rPr>
        <w:t>Learning Progress, Degree/Transfer Students</w:t>
      </w:r>
      <w:bookmarkEnd w:id="255"/>
      <w:bookmarkEnd w:id="256"/>
    </w:p>
    <w:p w14:paraId="3CC45F64" w14:textId="60B7CF7C" w:rsidR="00527759" w:rsidRPr="00F20D6C" w:rsidRDefault="00B4000A" w:rsidP="00527759">
      <w:pPr>
        <w:rPr>
          <w:rFonts w:ascii="Calibri" w:hAnsi="Calibri"/>
        </w:rPr>
      </w:pPr>
      <w:r>
        <w:rPr>
          <w:i/>
          <w:noProof/>
          <w:color w:val="0563C1"/>
          <w:spacing w:val="-2"/>
          <w:sz w:val="20"/>
          <w:u w:val="single" w:color="0563C1"/>
        </w:rPr>
        <w:drawing>
          <wp:inline distT="0" distB="0" distL="0" distR="0" wp14:anchorId="37D32A84" wp14:editId="3B12DC00">
            <wp:extent cx="6400165" cy="3228975"/>
            <wp:effectExtent l="0" t="0" r="635" b="9525"/>
            <wp:docPr id="120665637" name="Picture 5" descr="A graph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5637" name="Picture 5" descr="A graph with a line and a line&#10;&#10;Description automatically generated"/>
                    <pic:cNvPicPr>
                      <a:picLocks noChangeAspect="1" noChangeArrowheads="1"/>
                    </pic:cNvPicPr>
                  </pic:nvPicPr>
                  <pic:blipFill rotWithShape="1">
                    <a:blip r:embed="rId98">
                      <a:extLst>
                        <a:ext uri="{28A0092B-C50C-407E-A947-70E740481C1C}">
                          <a14:useLocalDpi xmlns:a14="http://schemas.microsoft.com/office/drawing/2010/main" val="0"/>
                        </a:ext>
                      </a:extLst>
                    </a:blip>
                    <a:srcRect r="6836" b="19056"/>
                    <a:stretch/>
                  </pic:blipFill>
                  <pic:spPr bwMode="auto">
                    <a:xfrm>
                      <a:off x="0" y="0"/>
                      <a:ext cx="6402121" cy="3229962"/>
                    </a:xfrm>
                    <a:prstGeom prst="rect">
                      <a:avLst/>
                    </a:prstGeom>
                    <a:noFill/>
                    <a:ln>
                      <a:noFill/>
                    </a:ln>
                    <a:extLst>
                      <a:ext uri="{53640926-AAD7-44D8-BBD7-CCE9431645EC}">
                        <a14:shadowObscured xmlns:a14="http://schemas.microsoft.com/office/drawing/2010/main"/>
                      </a:ext>
                    </a:extLst>
                  </pic:spPr>
                </pic:pic>
              </a:graphicData>
            </a:graphic>
          </wp:inline>
        </w:drawing>
      </w:r>
    </w:p>
    <w:p w14:paraId="285DB43C" w14:textId="77777777" w:rsidR="00B4000A" w:rsidRPr="00805409" w:rsidRDefault="00B4000A" w:rsidP="00B4000A">
      <w:pPr>
        <w:spacing w:before="209"/>
        <w:ind w:left="101"/>
        <w:contextualSpacing/>
        <w:rPr>
          <w:b/>
          <w:bCs/>
          <w:i/>
          <w:sz w:val="16"/>
          <w:szCs w:val="18"/>
        </w:rPr>
      </w:pPr>
      <w:r w:rsidRPr="00805409">
        <w:rPr>
          <w:b/>
          <w:bCs/>
          <w:i/>
          <w:sz w:val="16"/>
          <w:szCs w:val="18"/>
        </w:rPr>
        <w:t xml:space="preserve">Top Line: </w:t>
      </w:r>
      <w:r>
        <w:rPr>
          <w:b/>
          <w:bCs/>
          <w:i/>
          <w:sz w:val="16"/>
          <w:szCs w:val="18"/>
        </w:rPr>
        <w:t>Completed Transfer Level English in First Year</w:t>
      </w:r>
    </w:p>
    <w:p w14:paraId="2DD836FE" w14:textId="77777777" w:rsidR="00B4000A" w:rsidRPr="00805409" w:rsidRDefault="00B4000A" w:rsidP="00B4000A">
      <w:pPr>
        <w:spacing w:before="209"/>
        <w:ind w:left="101"/>
        <w:contextualSpacing/>
        <w:rPr>
          <w:b/>
          <w:bCs/>
          <w:i/>
          <w:sz w:val="16"/>
          <w:szCs w:val="18"/>
        </w:rPr>
      </w:pPr>
      <w:r>
        <w:rPr>
          <w:b/>
          <w:bCs/>
          <w:i/>
          <w:sz w:val="16"/>
          <w:szCs w:val="18"/>
        </w:rPr>
        <w:t>Middle Line: Completed Transfer Level Math in the First Year</w:t>
      </w:r>
    </w:p>
    <w:p w14:paraId="5AC275E7" w14:textId="77777777" w:rsidR="00B4000A" w:rsidRPr="00C64C0F" w:rsidRDefault="00B4000A" w:rsidP="00B4000A">
      <w:pPr>
        <w:spacing w:before="209"/>
        <w:ind w:left="101"/>
        <w:contextualSpacing/>
        <w:rPr>
          <w:b/>
          <w:bCs/>
          <w:i/>
          <w:sz w:val="16"/>
          <w:szCs w:val="18"/>
        </w:rPr>
      </w:pPr>
      <w:r w:rsidRPr="00805409">
        <w:rPr>
          <w:b/>
          <w:bCs/>
          <w:i/>
          <w:sz w:val="16"/>
          <w:szCs w:val="18"/>
        </w:rPr>
        <w:t xml:space="preserve">Bottom Line: </w:t>
      </w:r>
      <w:r>
        <w:rPr>
          <w:b/>
          <w:bCs/>
          <w:i/>
          <w:sz w:val="16"/>
          <w:szCs w:val="18"/>
        </w:rPr>
        <w:t>Completed Transfer Level Math and English in the First Year</w:t>
      </w:r>
    </w:p>
    <w:p w14:paraId="713211A1" w14:textId="77777777" w:rsidR="00B4000A" w:rsidRDefault="00B4000A" w:rsidP="00B4000A">
      <w:pPr>
        <w:spacing w:before="165"/>
        <w:ind w:left="107"/>
        <w:jc w:val="both"/>
        <w:rPr>
          <w:i/>
          <w:sz w:val="20"/>
        </w:rPr>
      </w:pPr>
      <w:r>
        <w:rPr>
          <w:i/>
          <w:sz w:val="20"/>
        </w:rPr>
        <w:t>Source:</w:t>
      </w:r>
      <w:r>
        <w:rPr>
          <w:i/>
          <w:spacing w:val="-6"/>
          <w:sz w:val="20"/>
        </w:rPr>
        <w:t xml:space="preserve"> </w:t>
      </w:r>
      <w:r>
        <w:rPr>
          <w:i/>
          <w:color w:val="0563C1"/>
          <w:sz w:val="20"/>
          <w:u w:val="single" w:color="0563C1"/>
        </w:rPr>
        <w:t>CCCCO</w:t>
      </w:r>
      <w:r>
        <w:rPr>
          <w:i/>
          <w:color w:val="0563C1"/>
          <w:spacing w:val="-6"/>
          <w:sz w:val="20"/>
          <w:u w:val="single" w:color="0563C1"/>
        </w:rPr>
        <w:t xml:space="preserve"> </w:t>
      </w:r>
      <w:r>
        <w:rPr>
          <w:i/>
          <w:color w:val="0563C1"/>
          <w:spacing w:val="-2"/>
          <w:sz w:val="20"/>
          <w:u w:val="single" w:color="0563C1"/>
        </w:rPr>
        <w:t>DataVista.</w:t>
      </w:r>
    </w:p>
    <w:p w14:paraId="25A7AAEB" w14:textId="529ECE70" w:rsidR="00527759" w:rsidRPr="00F20D6C" w:rsidRDefault="00527759" w:rsidP="00527759">
      <w:pPr>
        <w:rPr>
          <w:rFonts w:ascii="Calibri" w:hAnsi="Calibri"/>
        </w:rPr>
      </w:pPr>
      <w:r w:rsidRPr="00F20D6C">
        <w:rPr>
          <w:rFonts w:ascii="Calibri" w:hAnsi="Calibri"/>
        </w:rPr>
        <w:t>Completing Transfer</w:t>
      </w:r>
      <w:r w:rsidR="009933DC">
        <w:rPr>
          <w:rFonts w:ascii="Calibri" w:hAnsi="Calibri"/>
        </w:rPr>
        <w:t>-</w:t>
      </w:r>
      <w:r w:rsidRPr="00F20D6C">
        <w:rPr>
          <w:rFonts w:ascii="Calibri" w:hAnsi="Calibri"/>
        </w:rPr>
        <w:t>Level Math and English in a student’s first year is an evidenced</w:t>
      </w:r>
      <w:r w:rsidR="009933DC">
        <w:rPr>
          <w:rFonts w:ascii="Calibri" w:hAnsi="Calibri"/>
        </w:rPr>
        <w:t>-</w:t>
      </w:r>
      <w:r w:rsidRPr="00F20D6C">
        <w:rPr>
          <w:rFonts w:ascii="Calibri" w:hAnsi="Calibri"/>
        </w:rPr>
        <w:t>based strategy promoting completion and transfer for students desiring to earn a degree and/or transfer to a 4-year institution.</w:t>
      </w:r>
    </w:p>
    <w:p w14:paraId="2C54BE62" w14:textId="77777777" w:rsidR="00527759" w:rsidRPr="00F20D6C" w:rsidRDefault="00527759" w:rsidP="00527759">
      <w:pPr>
        <w:rPr>
          <w:rFonts w:ascii="Calibri" w:hAnsi="Calibri"/>
        </w:rPr>
      </w:pPr>
      <w:r w:rsidRPr="00F20D6C">
        <w:rPr>
          <w:rFonts w:ascii="Calibri" w:hAnsi="Calibri"/>
        </w:rPr>
        <w:t>At Taft College, the Math and English completion rates have trended slightly upward to where they are in the most recent data, for 2021-2022, where the completion rates are 33% for English, 18% for Math, and 10% for both.</w:t>
      </w:r>
    </w:p>
    <w:p w14:paraId="66988FDD" w14:textId="77777777" w:rsidR="001509DE" w:rsidRDefault="001509DE">
      <w:pPr>
        <w:spacing w:after="0"/>
        <w:rPr>
          <w:rFonts w:asciiTheme="majorHAnsi" w:eastAsia="DengXian Light" w:hAnsiTheme="majorHAnsi" w:cstheme="majorBidi"/>
          <w:b/>
          <w:bCs/>
          <w:color w:val="4472C4" w:themeColor="accent1"/>
          <w:sz w:val="24"/>
        </w:rPr>
      </w:pPr>
      <w:bookmarkStart w:id="257" w:name="_Toc168762757"/>
      <w:r>
        <w:rPr>
          <w:rFonts w:eastAsia="DengXian Light"/>
        </w:rPr>
        <w:br w:type="page"/>
      </w:r>
    </w:p>
    <w:p w14:paraId="7A5718A0" w14:textId="352A1BF5" w:rsidR="001509DE" w:rsidRPr="001509DE" w:rsidRDefault="00527759" w:rsidP="00F16EFC">
      <w:pPr>
        <w:rPr>
          <w:rFonts w:eastAsia="DengXian Light"/>
        </w:rPr>
      </w:pPr>
      <w:bookmarkStart w:id="258" w:name="_Toc194324279"/>
      <w:r w:rsidRPr="00F20D6C">
        <w:rPr>
          <w:rFonts w:eastAsia="DengXian Light"/>
        </w:rPr>
        <w:lastRenderedPageBreak/>
        <w:t>Learning Progress, Degree/Transfer Students Compared</w:t>
      </w:r>
      <w:bookmarkEnd w:id="257"/>
      <w:r w:rsidR="00E73CA8">
        <w:rPr>
          <w:noProof/>
        </w:rPr>
        <w:drawing>
          <wp:anchor distT="0" distB="0" distL="114300" distR="114300" simplePos="0" relativeHeight="251699200" behindDoc="0" locked="0" layoutInCell="1" allowOverlap="1" wp14:anchorId="3D05D05D" wp14:editId="231743D2">
            <wp:simplePos x="0" y="0"/>
            <wp:positionH relativeFrom="column">
              <wp:posOffset>0</wp:posOffset>
            </wp:positionH>
            <wp:positionV relativeFrom="paragraph">
              <wp:posOffset>248920</wp:posOffset>
            </wp:positionV>
            <wp:extent cx="3314700" cy="2505075"/>
            <wp:effectExtent l="0" t="0" r="0" b="9525"/>
            <wp:wrapSquare wrapText="bothSides"/>
            <wp:docPr id="1545862768" name="Chart 1">
              <a:extLst xmlns:a="http://schemas.openxmlformats.org/drawingml/2006/main">
                <a:ext uri="{FF2B5EF4-FFF2-40B4-BE49-F238E27FC236}">
                  <a16:creationId xmlns:a16="http://schemas.microsoft.com/office/drawing/2014/main" id="{931D25BA-91C1-43A3-9547-FAFA80F598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V relativeFrom="margin">
              <wp14:pctHeight>0</wp14:pctHeight>
            </wp14:sizeRelV>
          </wp:anchor>
        </w:drawing>
      </w:r>
      <w:bookmarkEnd w:id="258"/>
    </w:p>
    <w:p w14:paraId="273042AB" w14:textId="34AC563A" w:rsidR="00527759" w:rsidRPr="00F20D6C" w:rsidRDefault="00527759" w:rsidP="00527759">
      <w:pPr>
        <w:rPr>
          <w:rFonts w:ascii="Calibri" w:hAnsi="Calibri"/>
        </w:rPr>
      </w:pPr>
    </w:p>
    <w:p w14:paraId="5339201E" w14:textId="77777777" w:rsidR="00E73CA8" w:rsidRDefault="00E73CA8" w:rsidP="00E73CA8">
      <w:pPr>
        <w:pStyle w:val="BodyText"/>
        <w:ind w:right="865"/>
      </w:pPr>
      <w:r>
        <w:t>Compared</w:t>
      </w:r>
      <w:r>
        <w:rPr>
          <w:spacing w:val="-2"/>
        </w:rPr>
        <w:t xml:space="preserve"> </w:t>
      </w:r>
      <w:r>
        <w:t>to</w:t>
      </w:r>
      <w:r>
        <w:rPr>
          <w:spacing w:val="-2"/>
        </w:rPr>
        <w:t xml:space="preserve"> </w:t>
      </w:r>
      <w:r>
        <w:t>the</w:t>
      </w:r>
      <w:r>
        <w:rPr>
          <w:spacing w:val="-2"/>
        </w:rPr>
        <w:t xml:space="preserve"> </w:t>
      </w:r>
      <w:r>
        <w:t>Southern</w:t>
      </w:r>
      <w:r>
        <w:rPr>
          <w:spacing w:val="-2"/>
        </w:rPr>
        <w:t xml:space="preserve"> </w:t>
      </w:r>
      <w:r>
        <w:t>Central</w:t>
      </w:r>
      <w:r>
        <w:rPr>
          <w:spacing w:val="-2"/>
        </w:rPr>
        <w:t xml:space="preserve"> </w:t>
      </w:r>
      <w:r>
        <w:t>Valley/South</w:t>
      </w:r>
      <w:r>
        <w:rPr>
          <w:spacing w:val="-2"/>
        </w:rPr>
        <w:t xml:space="preserve"> </w:t>
      </w:r>
      <w:r>
        <w:t>Mother</w:t>
      </w:r>
      <w:r>
        <w:rPr>
          <w:spacing w:val="-2"/>
        </w:rPr>
        <w:t xml:space="preserve"> </w:t>
      </w:r>
      <w:r>
        <w:t>Lode region and the state, Taft College Degree/Transfer students post higher levels of math completion rates. For English, Taft rates are on par with the region but lower than the state.</w:t>
      </w:r>
    </w:p>
    <w:p w14:paraId="58A67E02" w14:textId="77777777" w:rsidR="00527759" w:rsidRDefault="00527759" w:rsidP="00F16EFC">
      <w:pPr>
        <w:rPr>
          <w:rFonts w:eastAsia="DengXian Light"/>
        </w:rPr>
      </w:pPr>
    </w:p>
    <w:p w14:paraId="4C92E6DC" w14:textId="77777777" w:rsidR="00527759" w:rsidRDefault="00527759" w:rsidP="00F16EFC">
      <w:pPr>
        <w:rPr>
          <w:rFonts w:eastAsia="DengXian Light"/>
        </w:rPr>
      </w:pPr>
    </w:p>
    <w:p w14:paraId="607F56B8" w14:textId="294234BF" w:rsidR="003A0A6E" w:rsidRPr="00F20D6C" w:rsidRDefault="00E73CA8" w:rsidP="003A0A6E">
      <w:pPr>
        <w:rPr>
          <w:rFonts w:ascii="Calibri" w:hAnsi="Calibri"/>
        </w:rPr>
      </w:pPr>
      <w:r>
        <w:rPr>
          <w:rFonts w:ascii="Calibri" w:eastAsia="DengXian Light" w:hAnsi="Calibri" w:cs="Calibri"/>
          <w:b/>
          <w:bCs/>
          <w:color w:val="FF9900"/>
          <w:sz w:val="28"/>
          <w:szCs w:val="28"/>
        </w:rPr>
        <w:br/>
      </w:r>
      <w:r w:rsidR="003A0A6E" w:rsidRPr="00F20D6C">
        <w:rPr>
          <w:rFonts w:ascii="Calibri" w:hAnsi="Calibri"/>
          <w:i/>
          <w:iCs/>
          <w:sz w:val="20"/>
          <w:szCs w:val="20"/>
        </w:rPr>
        <w:t>Source:</w:t>
      </w:r>
      <w:r w:rsidR="006073A2">
        <w:rPr>
          <w:rFonts w:ascii="Calibri" w:hAnsi="Calibri"/>
          <w:i/>
          <w:iCs/>
          <w:sz w:val="20"/>
          <w:szCs w:val="20"/>
        </w:rPr>
        <w:t xml:space="preserve"> </w:t>
      </w:r>
      <w:r w:rsidR="003A0A6E" w:rsidRPr="00F20D6C">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r w:rsidR="003A0A6E">
        <w:rPr>
          <w:rFonts w:ascii="Calibri" w:hAnsi="Calibri"/>
          <w:i/>
          <w:iCs/>
          <w:color w:val="0563C1"/>
          <w:sz w:val="20"/>
          <w:szCs w:val="20"/>
          <w:u w:val="single"/>
        </w:rPr>
        <w:t>.</w:t>
      </w:r>
      <w:r w:rsidR="003A0A6E">
        <w:rPr>
          <w:rFonts w:ascii="Calibri" w:hAnsi="Calibri"/>
          <w:i/>
          <w:iCs/>
          <w:color w:val="0563C1"/>
          <w:sz w:val="20"/>
          <w:szCs w:val="20"/>
          <w:u w:val="single"/>
        </w:rPr>
        <w:br/>
      </w:r>
    </w:p>
    <w:p w14:paraId="32A745FB" w14:textId="2B7F6850" w:rsidR="001509DE" w:rsidRPr="001509DE" w:rsidRDefault="00527759" w:rsidP="00F16EFC">
      <w:pPr>
        <w:rPr>
          <w:rFonts w:eastAsia="DengXian Light"/>
        </w:rPr>
      </w:pPr>
      <w:bookmarkStart w:id="259" w:name="_Toc194324280"/>
      <w:r>
        <w:rPr>
          <w:rFonts w:eastAsia="DengXian Light"/>
        </w:rPr>
        <w:t>Persistence, Degree/Transfer Students</w:t>
      </w:r>
      <w:bookmarkEnd w:id="259"/>
    </w:p>
    <w:p w14:paraId="01B7C540" w14:textId="0216CACC" w:rsidR="00E73CA8" w:rsidRDefault="00E73CA8" w:rsidP="00527759">
      <w:pPr>
        <w:rPr>
          <w:rFonts w:ascii="Calibri" w:hAnsi="Calibri"/>
          <w:i/>
          <w:iCs/>
          <w:sz w:val="20"/>
          <w:szCs w:val="20"/>
        </w:rPr>
      </w:pPr>
      <w:r>
        <w:rPr>
          <w:noProof/>
        </w:rPr>
        <w:drawing>
          <wp:inline distT="0" distB="0" distL="0" distR="0" wp14:anchorId="3F6E9D79" wp14:editId="14D11BF4">
            <wp:extent cx="6400165" cy="3752850"/>
            <wp:effectExtent l="0" t="0" r="635" b="0"/>
            <wp:docPr id="1355537149" name="Picture 3" descr="A graph with a line and numbers&#10;&#10;Description automatically generated">
              <a:extLst xmlns:a="http://schemas.openxmlformats.org/drawingml/2006/main">
                <a:ext uri="{FF2B5EF4-FFF2-40B4-BE49-F238E27FC236}">
                  <a16:creationId xmlns:a16="http://schemas.microsoft.com/office/drawing/2014/main" id="{02D31063-E2FB-D792-DA81-586950A08A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37149" name="Picture 3" descr="A graph with a line and numbers&#10;&#10;Description automatically generated">
                      <a:extLst>
                        <a:ext uri="{FF2B5EF4-FFF2-40B4-BE49-F238E27FC236}">
                          <a16:creationId xmlns:a16="http://schemas.microsoft.com/office/drawing/2014/main" id="{02D31063-E2FB-D792-DA81-586950A08A50}"/>
                        </a:ext>
                      </a:extLst>
                    </pic:cNvPr>
                    <pic:cNvPicPr>
                      <a:picLocks noChangeAspect="1"/>
                    </pic:cNvPicPr>
                  </pic:nvPicPr>
                  <pic:blipFill>
                    <a:blip r:embed="rId100"/>
                    <a:stretch>
                      <a:fillRect/>
                    </a:stretch>
                  </pic:blipFill>
                  <pic:spPr>
                    <a:xfrm>
                      <a:off x="0" y="0"/>
                      <a:ext cx="6400165" cy="3752850"/>
                    </a:xfrm>
                    <a:prstGeom prst="rect">
                      <a:avLst/>
                    </a:prstGeom>
                  </pic:spPr>
                </pic:pic>
              </a:graphicData>
            </a:graphic>
          </wp:inline>
        </w:drawing>
      </w:r>
    </w:p>
    <w:p w14:paraId="3DE64712" w14:textId="77777777" w:rsidR="00E73CA8" w:rsidRPr="00805409" w:rsidRDefault="00E73CA8" w:rsidP="00E73CA8">
      <w:pPr>
        <w:spacing w:before="209"/>
        <w:ind w:left="101"/>
        <w:contextualSpacing/>
        <w:rPr>
          <w:b/>
          <w:bCs/>
          <w:i/>
          <w:sz w:val="16"/>
          <w:szCs w:val="18"/>
        </w:rPr>
      </w:pPr>
      <w:r w:rsidRPr="00805409">
        <w:rPr>
          <w:b/>
          <w:bCs/>
          <w:i/>
          <w:sz w:val="16"/>
          <w:szCs w:val="18"/>
        </w:rPr>
        <w:t xml:space="preserve">Top Line: </w:t>
      </w:r>
      <w:r>
        <w:rPr>
          <w:b/>
          <w:bCs/>
          <w:i/>
          <w:sz w:val="16"/>
          <w:szCs w:val="18"/>
        </w:rPr>
        <w:t>Persistence from Fall to Spring at Any Community College</w:t>
      </w:r>
    </w:p>
    <w:p w14:paraId="4641640A" w14:textId="77777777" w:rsidR="00E73CA8" w:rsidRPr="00805409" w:rsidRDefault="00E73CA8" w:rsidP="00E73CA8">
      <w:pPr>
        <w:spacing w:before="209"/>
        <w:ind w:left="101"/>
        <w:contextualSpacing/>
        <w:rPr>
          <w:b/>
          <w:bCs/>
          <w:i/>
          <w:sz w:val="16"/>
          <w:szCs w:val="18"/>
        </w:rPr>
      </w:pPr>
      <w:r w:rsidRPr="00805409">
        <w:rPr>
          <w:b/>
          <w:bCs/>
          <w:i/>
          <w:sz w:val="16"/>
          <w:szCs w:val="18"/>
        </w:rPr>
        <w:t xml:space="preserve">Bottom Line: </w:t>
      </w:r>
      <w:r>
        <w:rPr>
          <w:b/>
          <w:bCs/>
          <w:i/>
          <w:sz w:val="16"/>
          <w:szCs w:val="18"/>
        </w:rPr>
        <w:t>Persistence from Fall to Spring at the Same College</w:t>
      </w:r>
    </w:p>
    <w:p w14:paraId="32452AA4" w14:textId="03BE91CC" w:rsidR="00527759" w:rsidRPr="00F20D6C" w:rsidRDefault="003A0A6E" w:rsidP="00527759">
      <w:pPr>
        <w:rPr>
          <w:rFonts w:ascii="Calibri" w:hAnsi="Calibri"/>
        </w:rPr>
      </w:pPr>
      <w:r>
        <w:rPr>
          <w:rFonts w:ascii="Calibri" w:hAnsi="Calibri"/>
          <w:i/>
          <w:iCs/>
          <w:sz w:val="20"/>
          <w:szCs w:val="20"/>
        </w:rPr>
        <w:t xml:space="preserve">Source: </w:t>
      </w:r>
      <w:r w:rsidR="00527759" w:rsidRPr="00F20D6C">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p>
    <w:p w14:paraId="639274C9" w14:textId="40EBE5C6" w:rsidR="00527759" w:rsidRPr="00F20D6C" w:rsidRDefault="00527759" w:rsidP="00E73CA8">
      <w:pPr>
        <w:rPr>
          <w:rFonts w:ascii="Calibri" w:hAnsi="Calibri"/>
        </w:rPr>
      </w:pPr>
      <w:r w:rsidRPr="00F20D6C">
        <w:rPr>
          <w:rFonts w:ascii="Calibri" w:hAnsi="Calibri"/>
        </w:rPr>
        <w:t>The percent of Taft College students persisting from Fall to Spring has decreased over time, from about 75% in 2014-2015 to about 65% in 2021-2022. The pattern holds for persistence at the same college (Taft) and persistence at any California Community College.</w:t>
      </w:r>
      <w:bookmarkStart w:id="260" w:name="_Toc168762759"/>
    </w:p>
    <w:p w14:paraId="04971D03" w14:textId="502E7E2B" w:rsidR="00527759" w:rsidRDefault="00527759" w:rsidP="007328B8">
      <w:pPr>
        <w:rPr>
          <w:rFonts w:eastAsia="DengXian Light"/>
        </w:rPr>
      </w:pPr>
      <w:bookmarkStart w:id="261" w:name="_Toc194324281"/>
      <w:r w:rsidRPr="00F20D6C">
        <w:rPr>
          <w:rFonts w:eastAsia="DengXian Light"/>
        </w:rPr>
        <w:t>Persistence, Degree/Transfer Students Compared</w:t>
      </w:r>
      <w:bookmarkEnd w:id="261"/>
    </w:p>
    <w:bookmarkEnd w:id="260"/>
    <w:p w14:paraId="3440B556" w14:textId="22AB173B" w:rsidR="00527759" w:rsidRPr="00F20D6C" w:rsidRDefault="00E73CA8" w:rsidP="00B86C43">
      <w:pPr>
        <w:rPr>
          <w:rFonts w:eastAsia="DengXian Light"/>
          <w:sz w:val="28"/>
          <w:szCs w:val="28"/>
        </w:rPr>
      </w:pPr>
      <w:r>
        <w:rPr>
          <w:noProof/>
        </w:rPr>
        <w:lastRenderedPageBreak/>
        <w:drawing>
          <wp:anchor distT="0" distB="0" distL="114300" distR="114300" simplePos="0" relativeHeight="251701248" behindDoc="0" locked="0" layoutInCell="1" allowOverlap="1" wp14:anchorId="7CE79607" wp14:editId="24CCFC85">
            <wp:simplePos x="0" y="0"/>
            <wp:positionH relativeFrom="margin">
              <wp:posOffset>-3720</wp:posOffset>
            </wp:positionH>
            <wp:positionV relativeFrom="paragraph">
              <wp:posOffset>72480</wp:posOffset>
            </wp:positionV>
            <wp:extent cx="4333875" cy="2585720"/>
            <wp:effectExtent l="0" t="0" r="9525" b="5080"/>
            <wp:wrapSquare wrapText="bothSides"/>
            <wp:docPr id="1070965844" name="Chart 1">
              <a:extLst xmlns:a="http://schemas.openxmlformats.org/drawingml/2006/main">
                <a:ext uri="{FF2B5EF4-FFF2-40B4-BE49-F238E27FC236}">
                  <a16:creationId xmlns:a16="http://schemas.microsoft.com/office/drawing/2014/main" id="{421FA084-2EBC-3EFC-8775-5A39C3BCD8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anchor>
        </w:drawing>
      </w:r>
    </w:p>
    <w:p w14:paraId="31797564" w14:textId="1358D0E5" w:rsidR="00527759" w:rsidRPr="00F20D6C" w:rsidRDefault="00527759" w:rsidP="00B86C43"/>
    <w:p w14:paraId="1B994C4E" w14:textId="37FA5461" w:rsidR="00527759" w:rsidRPr="00F20D6C" w:rsidRDefault="00527759" w:rsidP="00B86C43">
      <w:r w:rsidRPr="00F20D6C">
        <w:t>Compared to the Southern Central Valley/South Mother Lode region and the state, Taft College Degree/Transfer students posted lower levels of Fall to Spring Persistence.</w:t>
      </w:r>
    </w:p>
    <w:p w14:paraId="20C7C27E" w14:textId="77777777" w:rsidR="00527759" w:rsidRPr="00F20D6C" w:rsidRDefault="00527759" w:rsidP="00B86C43"/>
    <w:p w14:paraId="2A7D1A0A" w14:textId="77777777" w:rsidR="00527759" w:rsidRPr="00F20D6C" w:rsidRDefault="00527759" w:rsidP="00B86C43"/>
    <w:p w14:paraId="1C5CC94D" w14:textId="77777777" w:rsidR="00527759" w:rsidRPr="00F20D6C" w:rsidRDefault="00527759" w:rsidP="00B86C43"/>
    <w:p w14:paraId="2EA35661" w14:textId="77777777" w:rsidR="00527759" w:rsidRDefault="00527759" w:rsidP="00B86C43">
      <w:pPr>
        <w:rPr>
          <w:rFonts w:eastAsia="DengXian Light"/>
          <w:sz w:val="28"/>
          <w:szCs w:val="28"/>
        </w:rPr>
      </w:pPr>
      <w:bookmarkStart w:id="262" w:name="_Toc168762760"/>
    </w:p>
    <w:p w14:paraId="4B35A50C" w14:textId="77777777" w:rsidR="00527759" w:rsidRDefault="00527759" w:rsidP="00B86C43">
      <w:pPr>
        <w:rPr>
          <w:rFonts w:eastAsia="DengXian Light"/>
          <w:sz w:val="28"/>
          <w:szCs w:val="28"/>
        </w:rPr>
      </w:pPr>
    </w:p>
    <w:p w14:paraId="65CBC95D" w14:textId="77777777" w:rsidR="00B86C43" w:rsidRDefault="00B86C43" w:rsidP="00B86C43">
      <w:pPr>
        <w:rPr>
          <w:rFonts w:eastAsia="DengXian Light"/>
        </w:rPr>
      </w:pPr>
    </w:p>
    <w:p w14:paraId="69BC0C36" w14:textId="77777777" w:rsidR="003A0A6E" w:rsidRDefault="003A0A6E" w:rsidP="00F16EFC">
      <w:pPr>
        <w:rPr>
          <w:rFonts w:eastAsia="DengXian Light"/>
        </w:rPr>
      </w:pPr>
    </w:p>
    <w:p w14:paraId="5E5CCC81" w14:textId="44FDC35E" w:rsidR="003A0A6E" w:rsidRPr="003A0A6E" w:rsidRDefault="003A0A6E" w:rsidP="003A0A6E">
      <w:pPr>
        <w:rPr>
          <w:i/>
          <w:iCs/>
          <w:sz w:val="20"/>
          <w:szCs w:val="20"/>
        </w:rPr>
      </w:pPr>
      <w:r w:rsidRPr="003A0A6E">
        <w:rPr>
          <w:i/>
          <w:iCs/>
          <w:sz w:val="20"/>
          <w:szCs w:val="20"/>
        </w:rPr>
        <w:t xml:space="preserve">Source: </w:t>
      </w:r>
      <w:r w:rsidRPr="003A0A6E">
        <w:rPr>
          <w:i/>
          <w:iCs/>
          <w:color w:val="0563C1"/>
          <w:sz w:val="20"/>
          <w:szCs w:val="20"/>
          <w:u w:val="single"/>
        </w:rPr>
        <w:t xml:space="preserve">CCCCO </w:t>
      </w:r>
      <w:r w:rsidR="006073A2">
        <w:rPr>
          <w:i/>
          <w:iCs/>
          <w:color w:val="0563C1"/>
          <w:sz w:val="20"/>
          <w:szCs w:val="20"/>
          <w:u w:val="single"/>
        </w:rPr>
        <w:t>DataVista</w:t>
      </w:r>
      <w:r w:rsidRPr="003A0A6E">
        <w:rPr>
          <w:i/>
          <w:iCs/>
          <w:color w:val="0563C1"/>
          <w:sz w:val="20"/>
          <w:szCs w:val="20"/>
          <w:u w:val="single"/>
        </w:rPr>
        <w:t>.</w:t>
      </w:r>
      <w:r>
        <w:rPr>
          <w:i/>
          <w:iCs/>
          <w:color w:val="0563C1"/>
          <w:sz w:val="20"/>
          <w:szCs w:val="20"/>
          <w:u w:val="single"/>
        </w:rPr>
        <w:br/>
      </w:r>
    </w:p>
    <w:p w14:paraId="6409A715" w14:textId="6E2D63DB" w:rsidR="00527759" w:rsidRDefault="00527759" w:rsidP="007328B8">
      <w:pPr>
        <w:rPr>
          <w:rFonts w:eastAsia="DengXian Light"/>
        </w:rPr>
      </w:pPr>
      <w:bookmarkStart w:id="263" w:name="_Toc194324282"/>
      <w:r w:rsidRPr="00F20D6C">
        <w:rPr>
          <w:rFonts w:eastAsia="DengXian Light"/>
        </w:rPr>
        <w:t>Completion, Degree/Transfer Students Over Time</w:t>
      </w:r>
      <w:bookmarkEnd w:id="262"/>
      <w:bookmarkEnd w:id="263"/>
    </w:p>
    <w:p w14:paraId="44EEAF8C" w14:textId="77777777" w:rsidR="001509DE" w:rsidRDefault="001509DE" w:rsidP="001509DE">
      <w:pPr>
        <w:rPr>
          <w:rFonts w:eastAsia="DengXian Light"/>
        </w:rPr>
      </w:pPr>
    </w:p>
    <w:p w14:paraId="67F7440A" w14:textId="4507C125" w:rsidR="00900195" w:rsidRDefault="00900195" w:rsidP="001509DE">
      <w:pPr>
        <w:rPr>
          <w:rFonts w:eastAsia="DengXian Light"/>
        </w:rPr>
      </w:pPr>
      <w:r>
        <w:rPr>
          <w:noProof/>
        </w:rPr>
        <w:drawing>
          <wp:inline distT="0" distB="0" distL="0" distR="0" wp14:anchorId="5589704C" wp14:editId="14A5F4DF">
            <wp:extent cx="5538355" cy="2481214"/>
            <wp:effectExtent l="0" t="0" r="5715" b="0"/>
            <wp:docPr id="166571898" name="Picture 6" descr="A graph with blue lines and numbers&#10;&#10;Description automatically generated">
              <a:extLst xmlns:a="http://schemas.openxmlformats.org/drawingml/2006/main">
                <a:ext uri="{FF2B5EF4-FFF2-40B4-BE49-F238E27FC236}">
                  <a16:creationId xmlns:a16="http://schemas.microsoft.com/office/drawing/2014/main" id="{5D699862-0979-B47F-049F-8319FB6815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71898" name="Picture 6" descr="A graph with blue lines and numbers&#10;&#10;Description automatically generated">
                      <a:extLst>
                        <a:ext uri="{FF2B5EF4-FFF2-40B4-BE49-F238E27FC236}">
                          <a16:creationId xmlns:a16="http://schemas.microsoft.com/office/drawing/2014/main" id="{5D699862-0979-B47F-049F-8319FB6815C4}"/>
                        </a:ext>
                      </a:extLst>
                    </pic:cNvPr>
                    <pic:cNvPicPr>
                      <a:picLocks noChangeAspect="1"/>
                    </pic:cNvPicPr>
                  </pic:nvPicPr>
                  <pic:blipFill>
                    <a:blip r:embed="rId102"/>
                    <a:stretch>
                      <a:fillRect/>
                    </a:stretch>
                  </pic:blipFill>
                  <pic:spPr>
                    <a:xfrm>
                      <a:off x="0" y="0"/>
                      <a:ext cx="5569720" cy="2495266"/>
                    </a:xfrm>
                    <a:prstGeom prst="rect">
                      <a:avLst/>
                    </a:prstGeom>
                  </pic:spPr>
                </pic:pic>
              </a:graphicData>
            </a:graphic>
          </wp:inline>
        </w:drawing>
      </w:r>
    </w:p>
    <w:p w14:paraId="1C06D737" w14:textId="77777777" w:rsidR="00900195" w:rsidRPr="00805409" w:rsidRDefault="00900195" w:rsidP="00900195">
      <w:pPr>
        <w:spacing w:before="209"/>
        <w:ind w:left="101"/>
        <w:contextualSpacing/>
        <w:rPr>
          <w:b/>
          <w:bCs/>
          <w:i/>
          <w:sz w:val="16"/>
          <w:szCs w:val="18"/>
        </w:rPr>
      </w:pPr>
      <w:r w:rsidRPr="00805409">
        <w:rPr>
          <w:b/>
          <w:bCs/>
          <w:i/>
          <w:sz w:val="16"/>
          <w:szCs w:val="18"/>
        </w:rPr>
        <w:t xml:space="preserve">Top Line: </w:t>
      </w:r>
      <w:r>
        <w:rPr>
          <w:b/>
          <w:bCs/>
          <w:i/>
          <w:sz w:val="16"/>
          <w:szCs w:val="18"/>
        </w:rPr>
        <w:t>Earned and Award, Vision Goal Completion Definition</w:t>
      </w:r>
    </w:p>
    <w:p w14:paraId="4D7B19B8" w14:textId="77777777" w:rsidR="00900195" w:rsidRPr="00805409" w:rsidRDefault="00900195" w:rsidP="00900195">
      <w:pPr>
        <w:spacing w:before="209"/>
        <w:ind w:left="101"/>
        <w:contextualSpacing/>
        <w:rPr>
          <w:b/>
          <w:bCs/>
          <w:i/>
          <w:sz w:val="16"/>
          <w:szCs w:val="18"/>
        </w:rPr>
      </w:pPr>
      <w:r w:rsidRPr="00805409">
        <w:rPr>
          <w:b/>
          <w:bCs/>
          <w:i/>
          <w:sz w:val="16"/>
          <w:szCs w:val="18"/>
        </w:rPr>
        <w:t xml:space="preserve">Middle line: </w:t>
      </w:r>
      <w:r>
        <w:rPr>
          <w:b/>
          <w:bCs/>
          <w:i/>
          <w:sz w:val="16"/>
          <w:szCs w:val="18"/>
        </w:rPr>
        <w:t>Earned an Award, Associate Degree</w:t>
      </w:r>
    </w:p>
    <w:p w14:paraId="06967F4A" w14:textId="77777777" w:rsidR="00900195" w:rsidRPr="00805409" w:rsidRDefault="00900195" w:rsidP="00900195">
      <w:pPr>
        <w:spacing w:before="209"/>
        <w:ind w:left="101"/>
        <w:contextualSpacing/>
        <w:rPr>
          <w:b/>
          <w:bCs/>
          <w:i/>
          <w:sz w:val="16"/>
          <w:szCs w:val="18"/>
        </w:rPr>
      </w:pPr>
      <w:r w:rsidRPr="00805409">
        <w:rPr>
          <w:b/>
          <w:bCs/>
          <w:i/>
          <w:sz w:val="16"/>
          <w:szCs w:val="18"/>
        </w:rPr>
        <w:t xml:space="preserve">Bottom Line: </w:t>
      </w:r>
      <w:r>
        <w:rPr>
          <w:b/>
          <w:bCs/>
          <w:i/>
          <w:sz w:val="16"/>
          <w:szCs w:val="18"/>
        </w:rPr>
        <w:t>Earned a Chancellor’s Office Approved Credit Certificate</w:t>
      </w:r>
    </w:p>
    <w:p w14:paraId="0554A9E8" w14:textId="77777777" w:rsidR="00900195" w:rsidRDefault="00900195" w:rsidP="001509DE">
      <w:pPr>
        <w:rPr>
          <w:rFonts w:eastAsia="DengXian Light"/>
        </w:rPr>
      </w:pPr>
    </w:p>
    <w:p w14:paraId="72BEC223" w14:textId="77777777" w:rsidR="00900195" w:rsidRDefault="00900195" w:rsidP="001509DE">
      <w:pPr>
        <w:rPr>
          <w:rFonts w:eastAsia="DengXian Light"/>
        </w:rPr>
      </w:pPr>
    </w:p>
    <w:p w14:paraId="505E289E" w14:textId="77777777" w:rsidR="00900195" w:rsidRDefault="00900195" w:rsidP="001509DE">
      <w:pPr>
        <w:rPr>
          <w:rFonts w:eastAsia="DengXian Light"/>
        </w:rPr>
      </w:pPr>
    </w:p>
    <w:p w14:paraId="5B27AE52" w14:textId="77777777" w:rsidR="00900195" w:rsidRDefault="00900195" w:rsidP="001509DE">
      <w:pPr>
        <w:rPr>
          <w:rFonts w:eastAsia="DengXian Light"/>
        </w:rPr>
      </w:pPr>
    </w:p>
    <w:p w14:paraId="5DE5695B" w14:textId="77777777" w:rsidR="00900195" w:rsidRPr="001509DE" w:rsidRDefault="00900195" w:rsidP="001509DE">
      <w:pPr>
        <w:rPr>
          <w:rFonts w:eastAsia="DengXian Light"/>
        </w:rPr>
      </w:pPr>
    </w:p>
    <w:p w14:paraId="31E1B252" w14:textId="78598117" w:rsidR="009933DC" w:rsidRDefault="009933DC" w:rsidP="00527759">
      <w:pPr>
        <w:rPr>
          <w:rFonts w:ascii="Calibri" w:hAnsi="Calibri"/>
          <w:i/>
          <w:iCs/>
          <w:sz w:val="20"/>
          <w:szCs w:val="20"/>
        </w:rPr>
      </w:pPr>
    </w:p>
    <w:p w14:paraId="615BB5C8" w14:textId="0EFF11A7" w:rsidR="00527759" w:rsidRPr="009933DC" w:rsidRDefault="00527759" w:rsidP="009933DC">
      <w:pPr>
        <w:rPr>
          <w:rFonts w:ascii="Calibri" w:hAnsi="Calibri"/>
        </w:rPr>
      </w:pPr>
      <w:r w:rsidRPr="009933DC">
        <w:rPr>
          <w:rFonts w:ascii="Calibri" w:hAnsi="Calibri"/>
          <w:i/>
          <w:iCs/>
        </w:rPr>
        <w:t xml:space="preserve">Source: </w:t>
      </w:r>
      <w:r w:rsidRPr="009933DC">
        <w:rPr>
          <w:rFonts w:ascii="Calibri" w:hAnsi="Calibri"/>
          <w:i/>
          <w:iCs/>
          <w:color w:val="0563C1"/>
          <w:u w:val="single"/>
        </w:rPr>
        <w:t xml:space="preserve">CCCCO </w:t>
      </w:r>
      <w:r w:rsidR="006073A2">
        <w:rPr>
          <w:rFonts w:ascii="Calibri" w:hAnsi="Calibri"/>
          <w:i/>
          <w:iCs/>
          <w:color w:val="0563C1"/>
          <w:u w:val="single"/>
        </w:rPr>
        <w:t>DataVista</w:t>
      </w:r>
      <w:r w:rsidR="003A0A6E">
        <w:rPr>
          <w:rFonts w:ascii="Calibri" w:hAnsi="Calibri"/>
          <w:i/>
          <w:iCs/>
          <w:color w:val="0563C1"/>
          <w:u w:val="single"/>
        </w:rPr>
        <w:t>.</w:t>
      </w:r>
    </w:p>
    <w:p w14:paraId="16599BBE" w14:textId="0FC26014" w:rsidR="00527759" w:rsidRPr="00F20D6C" w:rsidRDefault="00527759" w:rsidP="00527759">
      <w:pPr>
        <w:rPr>
          <w:rFonts w:ascii="Calibri" w:hAnsi="Calibri"/>
        </w:rPr>
      </w:pPr>
      <w:r w:rsidRPr="00F20D6C">
        <w:rPr>
          <w:rFonts w:ascii="Calibri" w:hAnsi="Calibri"/>
        </w:rPr>
        <w:lastRenderedPageBreak/>
        <w:t>Even though there have been enrollment fluctuations, the number of Taft College students with the goal of degree and/or transfer who have earned a degree or attained the Vision Goal of Completion (degree, transfer, certificate, apprenticeship) has trended upward to 10% in 2021-2022</w:t>
      </w:r>
      <w:r w:rsidR="00900195">
        <w:rPr>
          <w:rFonts w:ascii="Calibri" w:hAnsi="Calibri"/>
        </w:rPr>
        <w:t xml:space="preserve"> but decreased in 2022-2023. </w:t>
      </w:r>
      <w:r w:rsidRPr="00F20D6C">
        <w:rPr>
          <w:rFonts w:ascii="Calibri" w:hAnsi="Calibri"/>
        </w:rPr>
        <w:t>The percentage of degree/transfer students earning a Chancellor’s Office</w:t>
      </w:r>
      <w:r w:rsidR="009933DC">
        <w:rPr>
          <w:rFonts w:ascii="Calibri" w:hAnsi="Calibri"/>
        </w:rPr>
        <w:t>-</w:t>
      </w:r>
      <w:r w:rsidRPr="00F20D6C">
        <w:rPr>
          <w:rFonts w:ascii="Calibri" w:hAnsi="Calibri"/>
        </w:rPr>
        <w:t xml:space="preserve">approved certificate has remained </w:t>
      </w:r>
      <w:proofErr w:type="gramStart"/>
      <w:r w:rsidRPr="00F20D6C">
        <w:rPr>
          <w:rFonts w:ascii="Calibri" w:hAnsi="Calibri"/>
        </w:rPr>
        <w:t>relatively flat,</w:t>
      </w:r>
      <w:proofErr w:type="gramEnd"/>
      <w:r w:rsidRPr="00F20D6C">
        <w:rPr>
          <w:rFonts w:ascii="Calibri" w:hAnsi="Calibri"/>
        </w:rPr>
        <w:t xml:space="preserve"> at 1%, which is not a surprise as this student group has the goal of earning a degree and/or transfer, not earning a certificate.</w:t>
      </w:r>
    </w:p>
    <w:p w14:paraId="6CAB3F7D" w14:textId="77777777" w:rsidR="001509DE" w:rsidRDefault="001509DE">
      <w:pPr>
        <w:spacing w:after="0"/>
        <w:rPr>
          <w:rFonts w:asciiTheme="majorHAnsi" w:eastAsia="DengXian Light" w:hAnsiTheme="majorHAnsi" w:cstheme="majorBidi"/>
          <w:b/>
          <w:bCs/>
          <w:color w:val="4472C4" w:themeColor="accent1"/>
          <w:sz w:val="24"/>
        </w:rPr>
      </w:pPr>
      <w:bookmarkStart w:id="264" w:name="_Toc168762761"/>
      <w:r>
        <w:rPr>
          <w:rFonts w:eastAsia="DengXian Light"/>
        </w:rPr>
        <w:br w:type="page"/>
      </w:r>
    </w:p>
    <w:p w14:paraId="06B87296" w14:textId="4792FAC5" w:rsidR="00527759" w:rsidRDefault="00527759" w:rsidP="007328B8">
      <w:pPr>
        <w:rPr>
          <w:rFonts w:eastAsia="DengXian Light"/>
        </w:rPr>
      </w:pPr>
      <w:bookmarkStart w:id="265" w:name="_Toc194324283"/>
      <w:r w:rsidRPr="00F20D6C">
        <w:rPr>
          <w:rFonts w:eastAsia="DengXian Light"/>
        </w:rPr>
        <w:lastRenderedPageBreak/>
        <w:t>Completion, Degree/Transfer Students Compared</w:t>
      </w:r>
      <w:bookmarkEnd w:id="264"/>
      <w:bookmarkEnd w:id="265"/>
    </w:p>
    <w:p w14:paraId="45C9F6F5" w14:textId="77777777" w:rsidR="001509DE" w:rsidRPr="001509DE" w:rsidRDefault="001509DE" w:rsidP="001509DE">
      <w:pPr>
        <w:rPr>
          <w:rFonts w:eastAsia="DengXian Light"/>
        </w:rPr>
      </w:pPr>
    </w:p>
    <w:p w14:paraId="6D109E8F" w14:textId="211CFD23" w:rsidR="00527759" w:rsidRPr="00F20D6C" w:rsidRDefault="00900195" w:rsidP="00B86C43">
      <w:r>
        <w:rPr>
          <w:noProof/>
        </w:rPr>
        <w:drawing>
          <wp:anchor distT="0" distB="0" distL="114300" distR="114300" simplePos="0" relativeHeight="251703296" behindDoc="0" locked="0" layoutInCell="1" allowOverlap="1" wp14:anchorId="7027FE7B" wp14:editId="495A9B8F">
            <wp:simplePos x="0" y="0"/>
            <wp:positionH relativeFrom="column">
              <wp:posOffset>0</wp:posOffset>
            </wp:positionH>
            <wp:positionV relativeFrom="paragraph">
              <wp:posOffset>255270</wp:posOffset>
            </wp:positionV>
            <wp:extent cx="3476625" cy="2362200"/>
            <wp:effectExtent l="0" t="0" r="9525" b="0"/>
            <wp:wrapSquare wrapText="bothSides"/>
            <wp:docPr id="945244696" name="Chart 1">
              <a:extLst xmlns:a="http://schemas.openxmlformats.org/drawingml/2006/main">
                <a:ext uri="{FF2B5EF4-FFF2-40B4-BE49-F238E27FC236}">
                  <a16:creationId xmlns:a16="http://schemas.microsoft.com/office/drawing/2014/main" id="{015CA2FA-BB7F-AED5-B085-9A5A10E2AA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anchor>
        </w:drawing>
      </w:r>
    </w:p>
    <w:p w14:paraId="319FCB63" w14:textId="77777777" w:rsidR="00527759" w:rsidRPr="00F20D6C" w:rsidRDefault="00527759" w:rsidP="00B86C43">
      <w:r w:rsidRPr="00F20D6C">
        <w:t>Compared to the Southern Central Valley/South Mother Lode region and the state, Taft College Degree/Transfer students posted higher levels of degree completion, and Vision for Success Goal Completion. Taft’s Chancellor’s Office approved certificate completion rate is lower, which makes sense given this student population has the goal of degree and/or transfer.</w:t>
      </w:r>
    </w:p>
    <w:p w14:paraId="71E34507" w14:textId="77777777" w:rsidR="00527759" w:rsidRPr="00F20D6C" w:rsidRDefault="00527759" w:rsidP="00B86C43">
      <w:pPr>
        <w:rPr>
          <w:rFonts w:eastAsia="DengXian Light" w:cs="Calibri"/>
          <w:b/>
          <w:bCs/>
          <w:color w:val="FF9900"/>
          <w:sz w:val="28"/>
          <w:szCs w:val="28"/>
        </w:rPr>
      </w:pPr>
    </w:p>
    <w:p w14:paraId="36DC046C" w14:textId="77777777" w:rsidR="00527759" w:rsidRDefault="00527759" w:rsidP="00F16EFC">
      <w:pPr>
        <w:rPr>
          <w:rFonts w:eastAsia="DengXian Light"/>
        </w:rPr>
      </w:pPr>
      <w:bookmarkStart w:id="266" w:name="_Toc168762762"/>
    </w:p>
    <w:p w14:paraId="1115DCB2" w14:textId="0BF03E1F" w:rsidR="003A0A6E" w:rsidRPr="00900195" w:rsidRDefault="00900195" w:rsidP="003A0A6E">
      <w:pPr>
        <w:rPr>
          <w:i/>
          <w:iCs/>
          <w:color w:val="0563C1"/>
          <w:sz w:val="20"/>
          <w:szCs w:val="20"/>
          <w:u w:val="single"/>
        </w:rPr>
      </w:pPr>
      <w:r>
        <w:rPr>
          <w:rFonts w:ascii="Calibri" w:eastAsia="DengXian Light" w:hAnsi="Calibri" w:cs="Calibri"/>
          <w:b/>
          <w:bCs/>
          <w:color w:val="FF9900"/>
          <w:sz w:val="28"/>
          <w:szCs w:val="28"/>
        </w:rPr>
        <w:br/>
      </w:r>
      <w:r w:rsidR="003A0A6E" w:rsidRPr="00F20D6C">
        <w:rPr>
          <w:i/>
          <w:iCs/>
          <w:sz w:val="20"/>
          <w:szCs w:val="20"/>
        </w:rPr>
        <w:t xml:space="preserve">Source: </w:t>
      </w:r>
      <w:r w:rsidR="003A0A6E" w:rsidRPr="00F20D6C">
        <w:rPr>
          <w:i/>
          <w:iCs/>
          <w:color w:val="0563C1"/>
          <w:sz w:val="20"/>
          <w:szCs w:val="20"/>
          <w:u w:val="single"/>
        </w:rPr>
        <w:t xml:space="preserve">CCCCO </w:t>
      </w:r>
      <w:r w:rsidR="006073A2">
        <w:rPr>
          <w:i/>
          <w:iCs/>
          <w:color w:val="0563C1"/>
          <w:sz w:val="20"/>
          <w:szCs w:val="20"/>
          <w:u w:val="single"/>
        </w:rPr>
        <w:t>DataVista.</w:t>
      </w:r>
    </w:p>
    <w:p w14:paraId="3E29FBAA" w14:textId="4140970E" w:rsidR="00527759" w:rsidRDefault="00527759" w:rsidP="00F16EFC">
      <w:pPr>
        <w:rPr>
          <w:rFonts w:eastAsia="DengXian Light"/>
        </w:rPr>
      </w:pPr>
      <w:bookmarkStart w:id="267" w:name="_Toc194324284"/>
      <w:r w:rsidRPr="00F20D6C">
        <w:rPr>
          <w:rFonts w:eastAsia="DengXian Light"/>
        </w:rPr>
        <w:t>Units Accumulated Upon Degree Completion, Degree/Transfer Students</w:t>
      </w:r>
      <w:bookmarkEnd w:id="266"/>
      <w:bookmarkEnd w:id="267"/>
    </w:p>
    <w:p w14:paraId="6C05E31F" w14:textId="5D795244" w:rsidR="001509DE" w:rsidRDefault="00900195" w:rsidP="001509DE">
      <w:pPr>
        <w:rPr>
          <w:rFonts w:eastAsia="DengXian Light"/>
        </w:rPr>
      </w:pPr>
      <w:r>
        <w:rPr>
          <w:noProof/>
        </w:rPr>
        <w:drawing>
          <wp:inline distT="0" distB="0" distL="0" distR="0" wp14:anchorId="1255DF69" wp14:editId="0368776B">
            <wp:extent cx="6400762" cy="3876675"/>
            <wp:effectExtent l="0" t="0" r="635" b="0"/>
            <wp:docPr id="293515526" name="Picture 9" descr="A graph with blue lines and numbers&#10;&#10;Description automatically generated">
              <a:extLst xmlns:a="http://schemas.openxmlformats.org/drawingml/2006/main">
                <a:ext uri="{FF2B5EF4-FFF2-40B4-BE49-F238E27FC236}">
                  <a16:creationId xmlns:a16="http://schemas.microsoft.com/office/drawing/2014/main" id="{A529F187-950C-A321-A06A-CC3BD7A9EB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15526" name="Picture 9" descr="A graph with blue lines and numbers&#10;&#10;Description automatically generated">
                      <a:extLst>
                        <a:ext uri="{FF2B5EF4-FFF2-40B4-BE49-F238E27FC236}">
                          <a16:creationId xmlns:a16="http://schemas.microsoft.com/office/drawing/2014/main" id="{A529F187-950C-A321-A06A-CC3BD7A9EBAE}"/>
                        </a:ext>
                      </a:extLst>
                    </pic:cNvPr>
                    <pic:cNvPicPr>
                      <a:picLocks noChangeAspect="1"/>
                    </pic:cNvPicPr>
                  </pic:nvPicPr>
                  <pic:blipFill>
                    <a:blip r:embed="rId104"/>
                    <a:stretch>
                      <a:fillRect/>
                    </a:stretch>
                  </pic:blipFill>
                  <pic:spPr>
                    <a:xfrm>
                      <a:off x="0" y="0"/>
                      <a:ext cx="6412752" cy="3883937"/>
                    </a:xfrm>
                    <a:prstGeom prst="rect">
                      <a:avLst/>
                    </a:prstGeom>
                  </pic:spPr>
                </pic:pic>
              </a:graphicData>
            </a:graphic>
          </wp:inline>
        </w:drawing>
      </w:r>
    </w:p>
    <w:p w14:paraId="4A954511" w14:textId="77777777" w:rsidR="00900195" w:rsidRDefault="00527759" w:rsidP="00527759">
      <w:pPr>
        <w:rPr>
          <w:rFonts w:ascii="Calibri" w:hAnsi="Calibri"/>
          <w:i/>
          <w:iCs/>
          <w:color w:val="0563C1"/>
          <w:sz w:val="20"/>
          <w:szCs w:val="20"/>
          <w:u w:val="single"/>
        </w:rPr>
      </w:pPr>
      <w:r w:rsidRPr="00F20D6C">
        <w:rPr>
          <w:rFonts w:ascii="Calibri" w:hAnsi="Calibri"/>
          <w:i/>
          <w:iCs/>
          <w:sz w:val="20"/>
          <w:szCs w:val="20"/>
        </w:rPr>
        <w:t xml:space="preserve">Source: </w:t>
      </w:r>
      <w:hyperlink r:id="rId105" w:history="1">
        <w:r w:rsidRPr="00F20D6C">
          <w:rPr>
            <w:rFonts w:ascii="Calibri" w:hAnsi="Calibri"/>
            <w:i/>
            <w:iCs/>
            <w:color w:val="0563C1"/>
            <w:sz w:val="20"/>
            <w:szCs w:val="20"/>
            <w:u w:val="single"/>
          </w:rPr>
          <w:t xml:space="preserve">CCCCO </w:t>
        </w:r>
      </w:hyperlink>
      <w:r w:rsidR="006073A2">
        <w:rPr>
          <w:rFonts w:ascii="Calibri" w:hAnsi="Calibri"/>
          <w:i/>
          <w:iCs/>
          <w:color w:val="0563C1"/>
          <w:sz w:val="20"/>
          <w:szCs w:val="20"/>
          <w:u w:val="single"/>
        </w:rPr>
        <w:t>DataVista.</w:t>
      </w:r>
    </w:p>
    <w:p w14:paraId="736A43F8" w14:textId="728745FF" w:rsidR="00527759" w:rsidRPr="00F20D6C" w:rsidRDefault="00527759" w:rsidP="00527759">
      <w:pPr>
        <w:rPr>
          <w:rFonts w:ascii="Calibri" w:hAnsi="Calibri"/>
        </w:rPr>
      </w:pPr>
      <w:r w:rsidRPr="00F20D6C">
        <w:rPr>
          <w:rFonts w:ascii="Calibri" w:hAnsi="Calibri"/>
        </w:rPr>
        <w:t xml:space="preserve">For Degree/Transfer students who earn an </w:t>
      </w:r>
      <w:proofErr w:type="gramStart"/>
      <w:r w:rsidRPr="00F20D6C">
        <w:rPr>
          <w:rFonts w:ascii="Calibri" w:hAnsi="Calibri"/>
        </w:rPr>
        <w:t>Associate Degree</w:t>
      </w:r>
      <w:proofErr w:type="gramEnd"/>
      <w:r w:rsidRPr="00F20D6C">
        <w:rPr>
          <w:rFonts w:ascii="Calibri" w:hAnsi="Calibri"/>
        </w:rPr>
        <w:t xml:space="preserve"> at Taft College, the total number of units accumulated has decreased from a high of 80 to a low of 74 in 2021-2022. Technically, an </w:t>
      </w:r>
      <w:proofErr w:type="gramStart"/>
      <w:r w:rsidRPr="00F20D6C">
        <w:rPr>
          <w:rFonts w:ascii="Calibri" w:hAnsi="Calibri"/>
        </w:rPr>
        <w:t>Associate Degree</w:t>
      </w:r>
      <w:proofErr w:type="gramEnd"/>
      <w:r w:rsidRPr="00F20D6C">
        <w:rPr>
          <w:rFonts w:ascii="Calibri" w:hAnsi="Calibri"/>
        </w:rPr>
        <w:t xml:space="preserve"> requires only 60 units, and excess unit accumulation can impact financial aid eligibility after transfer.</w:t>
      </w:r>
    </w:p>
    <w:p w14:paraId="4C365D6A" w14:textId="77777777" w:rsidR="001509DE" w:rsidRDefault="001509DE">
      <w:pPr>
        <w:spacing w:after="0"/>
        <w:rPr>
          <w:rFonts w:asciiTheme="majorHAnsi" w:eastAsia="DengXian Light" w:hAnsiTheme="majorHAnsi" w:cstheme="majorBidi"/>
          <w:b/>
          <w:bCs/>
          <w:color w:val="4472C4" w:themeColor="accent1"/>
          <w:sz w:val="24"/>
        </w:rPr>
      </w:pPr>
      <w:bookmarkStart w:id="268" w:name="_Toc168762763"/>
      <w:r>
        <w:rPr>
          <w:rFonts w:eastAsia="DengXian Light"/>
        </w:rPr>
        <w:br w:type="page"/>
      </w:r>
    </w:p>
    <w:p w14:paraId="7A9BD326" w14:textId="0BD02C0B" w:rsidR="00527759" w:rsidRDefault="00527759" w:rsidP="007328B8">
      <w:pPr>
        <w:rPr>
          <w:rFonts w:eastAsia="DengXian Light"/>
        </w:rPr>
      </w:pPr>
      <w:bookmarkStart w:id="269" w:name="_Toc194324285"/>
      <w:r w:rsidRPr="00F20D6C">
        <w:rPr>
          <w:rFonts w:eastAsia="DengXian Light"/>
        </w:rPr>
        <w:lastRenderedPageBreak/>
        <w:t>Units Accumulated Upon Degree Completion, Degree/Transfer Students Compared</w:t>
      </w:r>
      <w:bookmarkEnd w:id="268"/>
      <w:bookmarkEnd w:id="269"/>
    </w:p>
    <w:p w14:paraId="37D31665" w14:textId="77777777" w:rsidR="001509DE" w:rsidRPr="001509DE" w:rsidRDefault="001509DE" w:rsidP="001509DE">
      <w:pPr>
        <w:rPr>
          <w:rFonts w:eastAsia="DengXian Light"/>
        </w:rPr>
      </w:pPr>
    </w:p>
    <w:p w14:paraId="470046F3" w14:textId="7D21D867" w:rsidR="00527759" w:rsidRPr="00F20D6C" w:rsidRDefault="00900195" w:rsidP="00527759">
      <w:pPr>
        <w:rPr>
          <w:rFonts w:ascii="Calibri" w:hAnsi="Calibri"/>
        </w:rPr>
      </w:pPr>
      <w:r>
        <w:rPr>
          <w:noProof/>
        </w:rPr>
        <w:drawing>
          <wp:anchor distT="0" distB="0" distL="114300" distR="114300" simplePos="0" relativeHeight="251705344" behindDoc="0" locked="0" layoutInCell="1" allowOverlap="1" wp14:anchorId="2EBA3AA5" wp14:editId="39689FB6">
            <wp:simplePos x="0" y="0"/>
            <wp:positionH relativeFrom="column">
              <wp:posOffset>5379</wp:posOffset>
            </wp:positionH>
            <wp:positionV relativeFrom="paragraph">
              <wp:posOffset>-1905</wp:posOffset>
            </wp:positionV>
            <wp:extent cx="4480560" cy="2743200"/>
            <wp:effectExtent l="0" t="0" r="15240" b="0"/>
            <wp:wrapSquare wrapText="bothSides"/>
            <wp:docPr id="1385763604" name="Chart 1">
              <a:extLst xmlns:a="http://schemas.openxmlformats.org/drawingml/2006/main">
                <a:ext uri="{FF2B5EF4-FFF2-40B4-BE49-F238E27FC236}">
                  <a16:creationId xmlns:a16="http://schemas.microsoft.com/office/drawing/2014/main" id="{1F36CBB3-6CD9-4CBB-8387-FFD07DE0B3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margin">
              <wp14:pctWidth>0</wp14:pctWidth>
            </wp14:sizeRelH>
          </wp:anchor>
        </w:drawing>
      </w:r>
    </w:p>
    <w:p w14:paraId="70AEB2B7" w14:textId="505F72E7" w:rsidR="00527759" w:rsidRPr="00F20D6C" w:rsidRDefault="00527759" w:rsidP="00B86C43">
      <w:r w:rsidRPr="00F20D6C">
        <w:t>Compared to the Southern Central Valley/South Mother Lode region and the state, Taft College Degree/Transfer students amassed fewer units upon conferral of first Associate degree, which improves student eligibility for future financial aid.</w:t>
      </w:r>
    </w:p>
    <w:p w14:paraId="3513DBB4" w14:textId="77777777" w:rsidR="00527759" w:rsidRDefault="00527759" w:rsidP="00F16EFC">
      <w:pPr>
        <w:rPr>
          <w:rFonts w:eastAsia="DengXian Light"/>
        </w:rPr>
      </w:pPr>
      <w:bookmarkStart w:id="270" w:name="_Toc168762764"/>
    </w:p>
    <w:p w14:paraId="55E067A0" w14:textId="77777777" w:rsidR="00527759" w:rsidRDefault="00527759" w:rsidP="00F16EFC">
      <w:pPr>
        <w:rPr>
          <w:rFonts w:eastAsia="DengXian Light"/>
        </w:rPr>
      </w:pPr>
    </w:p>
    <w:p w14:paraId="79852AAA" w14:textId="57CFDE05" w:rsidR="003A0A6E" w:rsidRPr="00CB2591" w:rsidRDefault="00CB2591" w:rsidP="003A0A6E">
      <w:pPr>
        <w:rPr>
          <w:i/>
          <w:iCs/>
          <w:color w:val="0563C1"/>
          <w:sz w:val="20"/>
          <w:szCs w:val="20"/>
          <w:u w:val="single"/>
        </w:rPr>
      </w:pPr>
      <w:r>
        <w:rPr>
          <w:rFonts w:ascii="Calibri" w:eastAsia="DengXian Light" w:hAnsi="Calibri" w:cs="Calibri"/>
          <w:b/>
          <w:bCs/>
          <w:color w:val="FF9900"/>
          <w:sz w:val="28"/>
          <w:szCs w:val="28"/>
        </w:rPr>
        <w:br/>
      </w:r>
      <w:r w:rsidR="003A0A6E" w:rsidRPr="00F20D6C">
        <w:rPr>
          <w:i/>
          <w:iCs/>
          <w:sz w:val="20"/>
          <w:szCs w:val="20"/>
        </w:rPr>
        <w:t xml:space="preserve">Source: </w:t>
      </w:r>
      <w:hyperlink r:id="rId107" w:history="1">
        <w:r w:rsidR="003A0A6E" w:rsidRPr="00F20D6C">
          <w:rPr>
            <w:i/>
            <w:iCs/>
            <w:color w:val="0563C1"/>
            <w:sz w:val="20"/>
            <w:szCs w:val="20"/>
            <w:u w:val="single"/>
          </w:rPr>
          <w:t xml:space="preserve">CCCCO </w:t>
        </w:r>
      </w:hyperlink>
      <w:proofErr w:type="spellStart"/>
      <w:r w:rsidR="006073A2">
        <w:rPr>
          <w:i/>
          <w:iCs/>
          <w:color w:val="0563C1"/>
          <w:sz w:val="20"/>
          <w:szCs w:val="20"/>
          <w:u w:val="single"/>
        </w:rPr>
        <w:t>DtaVista</w:t>
      </w:r>
      <w:proofErr w:type="spellEnd"/>
      <w:r w:rsidR="003A0A6E">
        <w:rPr>
          <w:i/>
          <w:iCs/>
          <w:color w:val="0563C1"/>
          <w:sz w:val="20"/>
          <w:szCs w:val="20"/>
          <w:u w:val="single"/>
        </w:rPr>
        <w:t>.</w:t>
      </w:r>
    </w:p>
    <w:p w14:paraId="4E26D06F" w14:textId="2AA4234D" w:rsidR="00527759" w:rsidRDefault="00527759" w:rsidP="007328B8">
      <w:pPr>
        <w:rPr>
          <w:rFonts w:eastAsia="DengXian Light"/>
        </w:rPr>
      </w:pPr>
      <w:bookmarkStart w:id="271" w:name="_Toc194324286"/>
      <w:r w:rsidRPr="00F20D6C">
        <w:rPr>
          <w:rFonts w:eastAsia="DengXian Light"/>
        </w:rPr>
        <w:t>Transfer, Degree/Transfer Students</w:t>
      </w:r>
      <w:bookmarkEnd w:id="270"/>
      <w:bookmarkEnd w:id="271"/>
    </w:p>
    <w:p w14:paraId="4913A645" w14:textId="19C76711" w:rsidR="00900195" w:rsidRDefault="00900195" w:rsidP="00900195">
      <w:pPr>
        <w:rPr>
          <w:rFonts w:eastAsia="DengXian Light"/>
        </w:rPr>
      </w:pPr>
      <w:r>
        <w:rPr>
          <w:noProof/>
        </w:rPr>
        <w:drawing>
          <wp:inline distT="0" distB="0" distL="0" distR="0" wp14:anchorId="11C9B7EB" wp14:editId="02A16374">
            <wp:extent cx="6400165" cy="3343275"/>
            <wp:effectExtent l="0" t="0" r="635" b="9525"/>
            <wp:docPr id="1424537597" name="Picture 12" descr="A graph of a college&#10;&#10;Description automatically generated with medium confidence">
              <a:extLst xmlns:a="http://schemas.openxmlformats.org/drawingml/2006/main">
                <a:ext uri="{FF2B5EF4-FFF2-40B4-BE49-F238E27FC236}">
                  <a16:creationId xmlns:a16="http://schemas.microsoft.com/office/drawing/2014/main" id="{648B634F-B8FF-42E1-87C5-6403FD3829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37597" name="Picture 12" descr="A graph of a college&#10;&#10;Description automatically generated with medium confidence">
                      <a:extLst>
                        <a:ext uri="{FF2B5EF4-FFF2-40B4-BE49-F238E27FC236}">
                          <a16:creationId xmlns:a16="http://schemas.microsoft.com/office/drawing/2014/main" id="{648B634F-B8FF-42E1-87C5-6403FD3829D6}"/>
                        </a:ext>
                      </a:extLst>
                    </pic:cNvPr>
                    <pic:cNvPicPr>
                      <a:picLocks noChangeAspect="1"/>
                    </pic:cNvPicPr>
                  </pic:nvPicPr>
                  <pic:blipFill>
                    <a:blip r:embed="rId108"/>
                    <a:stretch>
                      <a:fillRect/>
                    </a:stretch>
                  </pic:blipFill>
                  <pic:spPr>
                    <a:xfrm>
                      <a:off x="0" y="0"/>
                      <a:ext cx="6402208" cy="3344342"/>
                    </a:xfrm>
                    <a:prstGeom prst="rect">
                      <a:avLst/>
                    </a:prstGeom>
                  </pic:spPr>
                </pic:pic>
              </a:graphicData>
            </a:graphic>
          </wp:inline>
        </w:drawing>
      </w:r>
    </w:p>
    <w:p w14:paraId="42170AF7" w14:textId="5D7A99E1" w:rsidR="00527759" w:rsidRPr="00F20D6C" w:rsidRDefault="00527759" w:rsidP="00527759">
      <w:pPr>
        <w:rPr>
          <w:rFonts w:ascii="Calibri" w:hAnsi="Calibri"/>
        </w:rPr>
      </w:pPr>
      <w:r w:rsidRPr="00F20D6C">
        <w:rPr>
          <w:rFonts w:ascii="Calibri" w:hAnsi="Calibri"/>
          <w:i/>
          <w:iCs/>
          <w:sz w:val="20"/>
          <w:szCs w:val="20"/>
        </w:rPr>
        <w:t xml:space="preserve">Source: </w:t>
      </w:r>
      <w:hyperlink r:id="rId109" w:history="1">
        <w:r w:rsidRPr="00F20D6C">
          <w:rPr>
            <w:rFonts w:ascii="Calibri" w:hAnsi="Calibri"/>
            <w:i/>
            <w:iCs/>
            <w:color w:val="0563C1"/>
            <w:sz w:val="20"/>
            <w:szCs w:val="20"/>
            <w:u w:val="single"/>
          </w:rPr>
          <w:t xml:space="preserve">CCCCO </w:t>
        </w:r>
      </w:hyperlink>
      <w:r w:rsidR="006073A2">
        <w:rPr>
          <w:rFonts w:ascii="Calibri" w:hAnsi="Calibri"/>
          <w:i/>
          <w:iCs/>
          <w:color w:val="0563C1"/>
          <w:sz w:val="20"/>
          <w:szCs w:val="20"/>
          <w:u w:val="single"/>
        </w:rPr>
        <w:t>DataVista.</w:t>
      </w:r>
    </w:p>
    <w:p w14:paraId="090C7B01" w14:textId="73EAE5B0" w:rsidR="00527759" w:rsidRPr="00F20D6C" w:rsidRDefault="00527759" w:rsidP="00527759">
      <w:pPr>
        <w:rPr>
          <w:rFonts w:ascii="Calibri" w:hAnsi="Calibri"/>
        </w:rPr>
      </w:pPr>
      <w:r w:rsidRPr="00F20D6C">
        <w:rPr>
          <w:rFonts w:ascii="Calibri" w:hAnsi="Calibri"/>
        </w:rPr>
        <w:t xml:space="preserve">The number of Taft College students with the educational goal of earning a degree and/or transfer to a four-year institution has been trending upward over the past four years, with a modest dip in 2020-2021. The majority of these transfer students attend </w:t>
      </w:r>
      <w:proofErr w:type="gramStart"/>
      <w:r w:rsidRPr="00F20D6C">
        <w:rPr>
          <w:rFonts w:ascii="Calibri" w:hAnsi="Calibri"/>
        </w:rPr>
        <w:t>a CSU</w:t>
      </w:r>
      <w:proofErr w:type="gramEnd"/>
      <w:r w:rsidRPr="00F20D6C">
        <w:rPr>
          <w:rFonts w:ascii="Calibri" w:hAnsi="Calibri"/>
        </w:rPr>
        <w:t xml:space="preserve"> or UC.</w:t>
      </w:r>
    </w:p>
    <w:p w14:paraId="3ED77D9A" w14:textId="77777777" w:rsidR="00527759" w:rsidRDefault="00527759" w:rsidP="00527759">
      <w:pPr>
        <w:rPr>
          <w:rFonts w:ascii="Calibri" w:eastAsia="DengXian Light" w:hAnsi="Calibri" w:cs="Calibri"/>
          <w:b/>
          <w:bCs/>
          <w:color w:val="FF9900"/>
          <w:sz w:val="28"/>
          <w:szCs w:val="28"/>
        </w:rPr>
      </w:pPr>
    </w:p>
    <w:p w14:paraId="6BFA452D" w14:textId="77777777" w:rsidR="00527759" w:rsidRDefault="00527759" w:rsidP="00527759">
      <w:pPr>
        <w:rPr>
          <w:rFonts w:ascii="Calibri" w:eastAsia="DengXian Light" w:hAnsi="Calibri" w:cs="Calibri"/>
          <w:b/>
          <w:bCs/>
          <w:color w:val="FF9900"/>
          <w:sz w:val="28"/>
          <w:szCs w:val="28"/>
        </w:rPr>
      </w:pPr>
      <w:r>
        <w:rPr>
          <w:rFonts w:ascii="Calibri" w:eastAsia="DengXian Light" w:hAnsi="Calibri" w:cs="Calibri"/>
          <w:b/>
          <w:bCs/>
          <w:color w:val="FF9900"/>
          <w:sz w:val="28"/>
          <w:szCs w:val="28"/>
        </w:rPr>
        <w:br w:type="page"/>
      </w:r>
    </w:p>
    <w:p w14:paraId="7B3CAD14" w14:textId="77777777" w:rsidR="00527759" w:rsidRDefault="00527759" w:rsidP="007328B8">
      <w:pPr>
        <w:rPr>
          <w:rFonts w:eastAsia="DengXian Light"/>
        </w:rPr>
      </w:pPr>
      <w:bookmarkStart w:id="272" w:name="_Toc194324287"/>
      <w:r w:rsidRPr="00F20D6C">
        <w:rPr>
          <w:rFonts w:eastAsia="DengXian Light"/>
        </w:rPr>
        <w:lastRenderedPageBreak/>
        <w:t>Transfer, Degree/Transfer Students Compared</w:t>
      </w:r>
      <w:bookmarkEnd w:id="272"/>
    </w:p>
    <w:p w14:paraId="7A20E560" w14:textId="193ACFD7" w:rsidR="00900195" w:rsidRDefault="00900195" w:rsidP="00B86C43">
      <w:pPr>
        <w:rPr>
          <w:rFonts w:eastAsia="DengXian Light"/>
        </w:rPr>
      </w:pPr>
      <w:bookmarkStart w:id="273" w:name="_Toc168762765"/>
      <w:r>
        <w:rPr>
          <w:noProof/>
        </w:rPr>
        <w:drawing>
          <wp:anchor distT="0" distB="0" distL="114300" distR="114300" simplePos="0" relativeHeight="251707392" behindDoc="0" locked="0" layoutInCell="1" allowOverlap="1" wp14:anchorId="00442089" wp14:editId="4B3EA4E1">
            <wp:simplePos x="0" y="0"/>
            <wp:positionH relativeFrom="column">
              <wp:posOffset>5080</wp:posOffset>
            </wp:positionH>
            <wp:positionV relativeFrom="paragraph">
              <wp:posOffset>244475</wp:posOffset>
            </wp:positionV>
            <wp:extent cx="4518025" cy="2686050"/>
            <wp:effectExtent l="0" t="0" r="15875" b="6350"/>
            <wp:wrapSquare wrapText="bothSides"/>
            <wp:docPr id="659312364" name="Chart 1">
              <a:extLst xmlns:a="http://schemas.openxmlformats.org/drawingml/2006/main">
                <a:ext uri="{FF2B5EF4-FFF2-40B4-BE49-F238E27FC236}">
                  <a16:creationId xmlns:a16="http://schemas.microsoft.com/office/drawing/2014/main" id="{0BE9EEA1-92F2-45B4-BE8A-46EA1C2C97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14:sizeRelH relativeFrom="margin">
              <wp14:pctWidth>0</wp14:pctWidth>
            </wp14:sizeRelH>
            <wp14:sizeRelV relativeFrom="margin">
              <wp14:pctHeight>0</wp14:pctHeight>
            </wp14:sizeRelV>
          </wp:anchor>
        </w:drawing>
      </w:r>
    </w:p>
    <w:p w14:paraId="0AA28B93" w14:textId="77777777" w:rsidR="00900195" w:rsidRDefault="00900195" w:rsidP="00B86C43">
      <w:pPr>
        <w:rPr>
          <w:rFonts w:eastAsia="DengXian Light"/>
        </w:rPr>
      </w:pPr>
    </w:p>
    <w:p w14:paraId="2C6CEC82" w14:textId="77777777" w:rsidR="00900195" w:rsidRDefault="00900195" w:rsidP="00B86C43">
      <w:pPr>
        <w:rPr>
          <w:rFonts w:eastAsia="DengXian Light"/>
        </w:rPr>
      </w:pPr>
    </w:p>
    <w:bookmarkEnd w:id="273"/>
    <w:p w14:paraId="2D2B3851" w14:textId="7BAE51D9" w:rsidR="00527759" w:rsidRPr="00D540D8" w:rsidRDefault="00527759" w:rsidP="00B86C43">
      <w:pPr>
        <w:rPr>
          <w:rFonts w:eastAsia="DengXian Light"/>
        </w:rPr>
      </w:pPr>
      <w:r w:rsidRPr="00F20D6C">
        <w:t xml:space="preserve">Compared to the Southern Central Valley/South Mother Lode region and the state, a </w:t>
      </w:r>
      <w:r w:rsidR="00D540D8">
        <w:t>higher p</w:t>
      </w:r>
      <w:r w:rsidRPr="00F20D6C">
        <w:t>ercentage of Taft students with the goal of degree and/or transfer actually transferred in 202</w:t>
      </w:r>
      <w:r w:rsidR="00D540D8">
        <w:t>1</w:t>
      </w:r>
      <w:r w:rsidRPr="00F20D6C">
        <w:t>-202</w:t>
      </w:r>
      <w:r w:rsidR="00D540D8">
        <w:t>2</w:t>
      </w:r>
      <w:r w:rsidRPr="00F20D6C">
        <w:t>.</w:t>
      </w:r>
    </w:p>
    <w:p w14:paraId="4FF463E4" w14:textId="77777777" w:rsidR="00527759" w:rsidRPr="00F20D6C" w:rsidRDefault="00527759" w:rsidP="00B86C43"/>
    <w:p w14:paraId="6DA90BD9" w14:textId="77777777" w:rsidR="00527759" w:rsidRPr="00F20D6C" w:rsidRDefault="00527759" w:rsidP="00B86C43"/>
    <w:p w14:paraId="774568EE" w14:textId="77777777" w:rsidR="00D540D8" w:rsidRDefault="00D540D8" w:rsidP="003A0A6E">
      <w:pPr>
        <w:rPr>
          <w:i/>
          <w:iCs/>
          <w:sz w:val="20"/>
          <w:szCs w:val="20"/>
        </w:rPr>
      </w:pPr>
    </w:p>
    <w:p w14:paraId="3DABDE60" w14:textId="3CD767A6" w:rsidR="003A0A6E" w:rsidRDefault="00D540D8" w:rsidP="003A0A6E">
      <w:r>
        <w:rPr>
          <w:i/>
          <w:iCs/>
          <w:sz w:val="20"/>
          <w:szCs w:val="20"/>
        </w:rPr>
        <w:br/>
      </w:r>
      <w:r w:rsidR="003A0A6E" w:rsidRPr="00F20D6C">
        <w:rPr>
          <w:i/>
          <w:iCs/>
          <w:sz w:val="20"/>
          <w:szCs w:val="20"/>
        </w:rPr>
        <w:t xml:space="preserve">Source: </w:t>
      </w:r>
      <w:hyperlink r:id="rId111" w:history="1">
        <w:r w:rsidR="003A0A6E" w:rsidRPr="00F20D6C">
          <w:rPr>
            <w:i/>
            <w:iCs/>
            <w:color w:val="0563C1"/>
            <w:sz w:val="20"/>
            <w:szCs w:val="20"/>
            <w:u w:val="single"/>
          </w:rPr>
          <w:t xml:space="preserve">CCCCO </w:t>
        </w:r>
      </w:hyperlink>
      <w:r w:rsidR="006073A2">
        <w:rPr>
          <w:i/>
          <w:iCs/>
          <w:color w:val="0563C1"/>
          <w:sz w:val="20"/>
          <w:szCs w:val="20"/>
          <w:u w:val="single"/>
        </w:rPr>
        <w:t>DataVista.</w:t>
      </w:r>
      <w:r w:rsidR="003A0A6E">
        <w:rPr>
          <w:i/>
          <w:iCs/>
          <w:color w:val="0563C1"/>
          <w:sz w:val="20"/>
          <w:szCs w:val="20"/>
          <w:u w:val="single"/>
        </w:rPr>
        <w:br/>
      </w:r>
    </w:p>
    <w:p w14:paraId="18695C0C" w14:textId="04C2BBD0" w:rsidR="00527759" w:rsidRDefault="00527759" w:rsidP="008F2145">
      <w:bookmarkStart w:id="274" w:name="_Toc194324288"/>
      <w:r>
        <w:t>Transfer Rate</w:t>
      </w:r>
      <w:bookmarkEnd w:id="274"/>
    </w:p>
    <w:p w14:paraId="782BA145" w14:textId="77777777" w:rsidR="001509DE" w:rsidRPr="001509DE" w:rsidRDefault="001509DE" w:rsidP="001509DE"/>
    <w:p w14:paraId="1CFD04A4" w14:textId="77777777" w:rsidR="00527759" w:rsidRDefault="00527759" w:rsidP="00527759">
      <w:pPr>
        <w:spacing w:after="0"/>
        <w:contextualSpacing/>
        <w:rPr>
          <w:rFonts w:ascii="Times New Roman" w:hAnsi="Times New Roman"/>
          <w:sz w:val="28"/>
        </w:rPr>
      </w:pPr>
      <w:r>
        <w:rPr>
          <w:noProof/>
        </w:rPr>
        <w:drawing>
          <wp:inline distT="0" distB="0" distL="0" distR="0" wp14:anchorId="1FDAB3D6" wp14:editId="2431D2BD">
            <wp:extent cx="5530823" cy="2969447"/>
            <wp:effectExtent l="0" t="0" r="0" b="2540"/>
            <wp:docPr id="1122084570" name="Picture 8">
              <a:extLst xmlns:a="http://schemas.openxmlformats.org/drawingml/2006/main">
                <a:ext uri="{FF2B5EF4-FFF2-40B4-BE49-F238E27FC236}">
                  <a16:creationId xmlns:a16="http://schemas.microsoft.com/office/drawing/2014/main" id="{AD18B178-BADE-B4EF-AFD5-202E3E6DEF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D18B178-BADE-B4EF-AFD5-202E3E6DEFAA}"/>
                        </a:ext>
                      </a:extLst>
                    </pic:cNvPr>
                    <pic:cNvPicPr>
                      <a:picLocks noChangeAspect="1"/>
                    </pic:cNvPicPr>
                  </pic:nvPicPr>
                  <pic:blipFill>
                    <a:blip r:embed="rId112"/>
                    <a:stretch>
                      <a:fillRect/>
                    </a:stretch>
                  </pic:blipFill>
                  <pic:spPr>
                    <a:xfrm>
                      <a:off x="0" y="0"/>
                      <a:ext cx="5530823" cy="2969447"/>
                    </a:xfrm>
                    <a:prstGeom prst="rect">
                      <a:avLst/>
                    </a:prstGeom>
                  </pic:spPr>
                </pic:pic>
              </a:graphicData>
            </a:graphic>
          </wp:inline>
        </w:drawing>
      </w:r>
    </w:p>
    <w:p w14:paraId="31A7B79C" w14:textId="77777777" w:rsidR="00527759" w:rsidRDefault="00527759" w:rsidP="00527759">
      <w:pPr>
        <w:spacing w:after="0"/>
        <w:contextualSpacing/>
        <w:rPr>
          <w:rFonts w:ascii="Times New Roman" w:hAnsi="Times New Roman"/>
          <w:sz w:val="28"/>
        </w:rPr>
      </w:pPr>
    </w:p>
    <w:p w14:paraId="0A3B9FB6" w14:textId="77777777" w:rsidR="00527759" w:rsidRDefault="00527759" w:rsidP="00527759">
      <w:pPr>
        <w:spacing w:after="0"/>
        <w:contextualSpacing/>
        <w:rPr>
          <w:rFonts w:ascii="Times New Roman" w:hAnsi="Times New Roman"/>
          <w:sz w:val="28"/>
        </w:rPr>
      </w:pPr>
    </w:p>
    <w:p w14:paraId="2C6AB9E6" w14:textId="77777777" w:rsidR="00527759" w:rsidRDefault="00527759" w:rsidP="00527759">
      <w:pPr>
        <w:spacing w:after="0"/>
        <w:contextualSpacing/>
        <w:rPr>
          <w:rFonts w:ascii="Times New Roman" w:hAnsi="Times New Roman"/>
          <w:sz w:val="28"/>
        </w:rPr>
      </w:pPr>
      <w:r>
        <w:rPr>
          <w:noProof/>
        </w:rPr>
        <w:lastRenderedPageBreak/>
        <w:drawing>
          <wp:inline distT="0" distB="0" distL="0" distR="0" wp14:anchorId="266E66C4" wp14:editId="74693954">
            <wp:extent cx="5487654" cy="2969447"/>
            <wp:effectExtent l="0" t="0" r="0" b="2540"/>
            <wp:docPr id="382144166" name="Picture 10">
              <a:extLst xmlns:a="http://schemas.openxmlformats.org/drawingml/2006/main">
                <a:ext uri="{FF2B5EF4-FFF2-40B4-BE49-F238E27FC236}">
                  <a16:creationId xmlns:a16="http://schemas.microsoft.com/office/drawing/2014/main" id="{85D13B2D-6CC7-7208-3A7C-0310B96662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5D13B2D-6CC7-7208-3A7C-0310B9666279}"/>
                        </a:ext>
                      </a:extLst>
                    </pic:cNvPr>
                    <pic:cNvPicPr>
                      <a:picLocks noChangeAspect="1"/>
                    </pic:cNvPicPr>
                  </pic:nvPicPr>
                  <pic:blipFill>
                    <a:blip r:embed="rId113"/>
                    <a:stretch>
                      <a:fillRect/>
                    </a:stretch>
                  </pic:blipFill>
                  <pic:spPr>
                    <a:xfrm>
                      <a:off x="0" y="0"/>
                      <a:ext cx="5487654" cy="2969447"/>
                    </a:xfrm>
                    <a:prstGeom prst="rect">
                      <a:avLst/>
                    </a:prstGeom>
                  </pic:spPr>
                </pic:pic>
              </a:graphicData>
            </a:graphic>
          </wp:inline>
        </w:drawing>
      </w:r>
    </w:p>
    <w:p w14:paraId="156A698D" w14:textId="2D53FB50" w:rsidR="00527759"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0"/>
          <w:szCs w:val="20"/>
        </w:rPr>
      </w:pPr>
      <w:r w:rsidRPr="003A0A6E">
        <w:rPr>
          <w:rFonts w:asciiTheme="minorHAnsi" w:eastAsiaTheme="minorEastAsia" w:hAnsi="Calibri" w:cstheme="minorBidi"/>
          <w:i/>
          <w:iCs/>
          <w:color w:val="000000" w:themeColor="text1"/>
          <w:kern w:val="24"/>
          <w:sz w:val="20"/>
          <w:szCs w:val="20"/>
        </w:rPr>
        <w:t>Source: Taft College Office of Institutional Research and Planning</w:t>
      </w:r>
      <w:r w:rsidR="003A0A6E" w:rsidRPr="003A0A6E">
        <w:rPr>
          <w:rFonts w:asciiTheme="minorHAnsi" w:eastAsiaTheme="minorEastAsia" w:hAnsi="Calibri" w:cstheme="minorBidi"/>
          <w:i/>
          <w:iCs/>
          <w:color w:val="000000" w:themeColor="text1"/>
          <w:kern w:val="24"/>
          <w:sz w:val="20"/>
          <w:szCs w:val="20"/>
        </w:rPr>
        <w:t>.</w:t>
      </w:r>
    </w:p>
    <w:p w14:paraId="402C58AA" w14:textId="77777777" w:rsidR="003A0A6E" w:rsidRPr="003A0A6E" w:rsidRDefault="003A0A6E" w:rsidP="003A0A6E">
      <w:pPr>
        <w:spacing w:after="0"/>
        <w:contextualSpacing/>
        <w:rPr>
          <w:rFonts w:eastAsiaTheme="minorEastAsia" w:hAnsi="Calibri"/>
          <w:i/>
          <w:iCs/>
          <w:color w:val="000000" w:themeColor="text1"/>
          <w:kern w:val="24"/>
          <w:sz w:val="20"/>
          <w:szCs w:val="20"/>
        </w:rPr>
      </w:pPr>
      <w:r w:rsidRPr="003A0A6E">
        <w:rPr>
          <w:rFonts w:eastAsiaTheme="minorEastAsia" w:hAnsi="Calibri"/>
          <w:i/>
          <w:iCs/>
          <w:color w:val="000000" w:themeColor="text1"/>
          <w:kern w:val="24"/>
          <w:sz w:val="20"/>
          <w:szCs w:val="20"/>
        </w:rPr>
        <w:t>Note: there is a time lag in confirming transfer data; the numbers for 2022-2023 will likely increase.</w:t>
      </w:r>
    </w:p>
    <w:p w14:paraId="196E868C" w14:textId="77777777" w:rsidR="003A0A6E" w:rsidRPr="003A0A6E" w:rsidRDefault="003A0A6E" w:rsidP="00527759">
      <w:pPr>
        <w:pStyle w:val="NormalWeb"/>
        <w:spacing w:before="0" w:beforeAutospacing="0" w:after="0" w:afterAutospacing="0"/>
        <w:rPr>
          <w:rFonts w:asciiTheme="minorHAnsi" w:eastAsiaTheme="minorEastAsia" w:hAnsi="Calibri" w:cstheme="minorBidi"/>
          <w:i/>
          <w:iCs/>
          <w:color w:val="000000" w:themeColor="text1"/>
          <w:kern w:val="24"/>
          <w:sz w:val="20"/>
          <w:szCs w:val="20"/>
        </w:rPr>
      </w:pPr>
    </w:p>
    <w:p w14:paraId="2E5FF428" w14:textId="77777777" w:rsidR="00527759" w:rsidRPr="00A564F3" w:rsidRDefault="00527759" w:rsidP="00527759">
      <w:pPr>
        <w:spacing w:after="0"/>
        <w:contextualSpacing/>
        <w:rPr>
          <w:rFonts w:ascii="Times New Roman" w:hAnsi="Times New Roman"/>
        </w:rPr>
      </w:pPr>
    </w:p>
    <w:p w14:paraId="32266345" w14:textId="473FA63F" w:rsidR="00527759" w:rsidRDefault="00527759" w:rsidP="00527759">
      <w:pPr>
        <w:spacing w:after="0"/>
        <w:contextualSpacing/>
        <w:rPr>
          <w:rFonts w:eastAsiaTheme="minorEastAsia" w:hAnsi="Calibri"/>
          <w:color w:val="000000" w:themeColor="text1"/>
          <w:kern w:val="24"/>
        </w:rPr>
      </w:pPr>
      <w:r w:rsidRPr="00066A36">
        <w:rPr>
          <w:rFonts w:eastAsiaTheme="minorEastAsia" w:hAnsi="Calibri"/>
          <w:color w:val="000000" w:themeColor="text1"/>
          <w:kern w:val="24"/>
        </w:rPr>
        <w:t>Taft College locally defines transfer rate as the percentage of degree earners who transfer to a 4-year college or university the following Fall</w:t>
      </w:r>
      <w:r>
        <w:rPr>
          <w:rFonts w:eastAsiaTheme="minorEastAsia" w:hAnsi="Calibri"/>
          <w:color w:val="000000" w:themeColor="text1"/>
          <w:kern w:val="24"/>
        </w:rPr>
        <w:t>.</w:t>
      </w:r>
      <w:r w:rsidR="00D540D8" w:rsidRPr="00D540D8">
        <w:t xml:space="preserve"> </w:t>
      </w:r>
      <w:r w:rsidR="00D540D8">
        <w:t>The transfer rate was fairly stable until it decreased noticeably in 2022-2023, perhaps because the data are incomplete.</w:t>
      </w:r>
    </w:p>
    <w:p w14:paraId="05BB2583" w14:textId="77777777" w:rsidR="00527759" w:rsidRDefault="00527759" w:rsidP="00527759">
      <w:pPr>
        <w:spacing w:after="0"/>
        <w:contextualSpacing/>
        <w:rPr>
          <w:rFonts w:eastAsiaTheme="minorEastAsia" w:hAnsi="Calibri"/>
          <w:color w:val="000000" w:themeColor="text1"/>
          <w:kern w:val="24"/>
        </w:rPr>
      </w:pPr>
    </w:p>
    <w:p w14:paraId="779AC517" w14:textId="77777777" w:rsidR="00527759" w:rsidRPr="00066A36" w:rsidRDefault="00527759" w:rsidP="00527759">
      <w:pPr>
        <w:spacing w:after="0"/>
        <w:contextualSpacing/>
        <w:rPr>
          <w:rFonts w:ascii="Times New Roman" w:hAnsi="Times New Roman"/>
        </w:rPr>
      </w:pPr>
      <w:r w:rsidRPr="00066A36">
        <w:rPr>
          <w:rFonts w:eastAsiaTheme="minorEastAsia" w:hAnsi="Calibri"/>
          <w:color w:val="000000" w:themeColor="text1"/>
          <w:kern w:val="24"/>
        </w:rPr>
        <w:t>While more Taft students earn local Associate degrees than ADTs, the transfer rate for ADT earners is significantly higher</w:t>
      </w:r>
      <w:r>
        <w:rPr>
          <w:rFonts w:eastAsiaTheme="minorEastAsia" w:hAnsi="Calibri"/>
          <w:color w:val="000000" w:themeColor="text1"/>
          <w:kern w:val="24"/>
        </w:rPr>
        <w:t>.</w:t>
      </w:r>
    </w:p>
    <w:p w14:paraId="0787ED88" w14:textId="77777777" w:rsidR="00527759" w:rsidRPr="00066A36" w:rsidRDefault="00527759" w:rsidP="00527759">
      <w:pPr>
        <w:spacing w:after="0"/>
        <w:contextualSpacing/>
        <w:rPr>
          <w:rFonts w:ascii="Times New Roman" w:hAnsi="Times New Roman"/>
        </w:rPr>
      </w:pPr>
    </w:p>
    <w:p w14:paraId="78162F2A" w14:textId="77777777" w:rsidR="00527759" w:rsidRPr="00066A36" w:rsidRDefault="00527759" w:rsidP="00527759">
      <w:pPr>
        <w:spacing w:after="0"/>
        <w:contextualSpacing/>
        <w:rPr>
          <w:rFonts w:ascii="Times New Roman" w:hAnsi="Times New Roman"/>
        </w:rPr>
      </w:pPr>
    </w:p>
    <w:p w14:paraId="061C53AD" w14:textId="77777777" w:rsidR="00527759" w:rsidRDefault="00527759" w:rsidP="00527759">
      <w:pPr>
        <w:spacing w:after="0"/>
        <w:contextualSpacing/>
        <w:rPr>
          <w:rFonts w:ascii="Times New Roman" w:hAnsi="Times New Roman"/>
          <w:sz w:val="28"/>
        </w:rPr>
      </w:pPr>
    </w:p>
    <w:p w14:paraId="07C2B93E" w14:textId="77777777" w:rsidR="00527759" w:rsidRDefault="00527759" w:rsidP="00527759">
      <w:pPr>
        <w:rPr>
          <w:rFonts w:ascii="Calibri" w:eastAsia="DengXian Light" w:hAnsi="Calibri" w:cs="Calibri"/>
          <w:b/>
          <w:bCs/>
          <w:color w:val="FF9900"/>
          <w:sz w:val="28"/>
          <w:szCs w:val="28"/>
        </w:rPr>
      </w:pPr>
      <w:r>
        <w:br w:type="page"/>
      </w:r>
    </w:p>
    <w:p w14:paraId="54492523" w14:textId="77777777" w:rsidR="00527759" w:rsidRDefault="00527759" w:rsidP="008F2145">
      <w:bookmarkStart w:id="275" w:name="_Toc194324289"/>
      <w:r>
        <w:lastRenderedPageBreak/>
        <w:t>Top University Transfer Destinations</w:t>
      </w:r>
      <w:bookmarkEnd w:id="275"/>
    </w:p>
    <w:p w14:paraId="3BD6FAA0" w14:textId="77777777" w:rsidR="001509DE" w:rsidRPr="001509DE" w:rsidRDefault="001509DE" w:rsidP="001509DE"/>
    <w:tbl>
      <w:tblPr>
        <w:tblW w:w="9700" w:type="dxa"/>
        <w:tblCellMar>
          <w:left w:w="0" w:type="dxa"/>
          <w:right w:w="0" w:type="dxa"/>
        </w:tblCellMar>
        <w:tblLook w:val="0600" w:firstRow="0" w:lastRow="0" w:firstColumn="0" w:lastColumn="0" w:noHBand="1" w:noVBand="1"/>
      </w:tblPr>
      <w:tblGrid>
        <w:gridCol w:w="5640"/>
        <w:gridCol w:w="4060"/>
      </w:tblGrid>
      <w:tr w:rsidR="00527759" w:rsidRPr="00E35DE6" w14:paraId="524D4516" w14:textId="77777777" w:rsidTr="00B13ECD">
        <w:trPr>
          <w:trHeight w:val="493"/>
        </w:trPr>
        <w:tc>
          <w:tcPr>
            <w:tcW w:w="5640" w:type="dxa"/>
            <w:tcBorders>
              <w:top w:val="single" w:sz="8" w:space="0" w:color="FFFFFF"/>
              <w:left w:val="single" w:sz="8" w:space="0" w:color="FFFFFF"/>
              <w:bottom w:val="single" w:sz="8" w:space="0" w:color="FFFFFF"/>
              <w:right w:val="single" w:sz="8" w:space="0" w:color="FFFFFF"/>
            </w:tcBorders>
            <w:shd w:val="clear" w:color="auto" w:fill="E09878"/>
            <w:tcMar>
              <w:top w:w="10" w:type="dxa"/>
              <w:left w:w="10" w:type="dxa"/>
              <w:bottom w:w="0" w:type="dxa"/>
              <w:right w:w="10" w:type="dxa"/>
            </w:tcMar>
            <w:vAlign w:val="bottom"/>
            <w:hideMark/>
          </w:tcPr>
          <w:p w14:paraId="1522909A" w14:textId="77777777" w:rsidR="00527759" w:rsidRPr="00E35DE6" w:rsidRDefault="00527759" w:rsidP="00B13ECD">
            <w:pPr>
              <w:spacing w:after="0"/>
              <w:textAlignment w:val="bottom"/>
              <w:rPr>
                <w:rFonts w:ascii="Arial" w:hAnsi="Arial" w:cs="Arial"/>
                <w:sz w:val="24"/>
              </w:rPr>
            </w:pPr>
            <w:r w:rsidRPr="00E35DE6">
              <w:rPr>
                <w:rFonts w:ascii="Calibri" w:hAnsi="Calibri" w:cs="Calibri"/>
                <w:b/>
                <w:bCs/>
                <w:color w:val="000000" w:themeColor="dark1"/>
                <w:kern w:val="24"/>
                <w:sz w:val="24"/>
              </w:rPr>
              <w:t>Institution Name</w:t>
            </w:r>
          </w:p>
        </w:tc>
        <w:tc>
          <w:tcPr>
            <w:tcW w:w="4060" w:type="dxa"/>
            <w:tcBorders>
              <w:top w:val="single" w:sz="8" w:space="0" w:color="FFFFFF"/>
              <w:left w:val="single" w:sz="8" w:space="0" w:color="FFFFFF"/>
              <w:bottom w:val="single" w:sz="8" w:space="0" w:color="FFFFFF"/>
              <w:right w:val="single" w:sz="8" w:space="0" w:color="FFFFFF"/>
            </w:tcBorders>
            <w:shd w:val="clear" w:color="auto" w:fill="E09878"/>
            <w:tcMar>
              <w:top w:w="10" w:type="dxa"/>
              <w:left w:w="10" w:type="dxa"/>
              <w:bottom w:w="0" w:type="dxa"/>
              <w:right w:w="10" w:type="dxa"/>
            </w:tcMar>
            <w:vAlign w:val="bottom"/>
            <w:hideMark/>
          </w:tcPr>
          <w:p w14:paraId="6A121219"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b/>
                <w:bCs/>
                <w:color w:val="000000" w:themeColor="dark1"/>
                <w:kern w:val="24"/>
                <w:sz w:val="24"/>
              </w:rPr>
              <w:t>5-Year Total Students Transferred (1</w:t>
            </w:r>
            <w:r>
              <w:rPr>
                <w:rFonts w:ascii="Calibri" w:hAnsi="Calibri" w:cs="Calibri"/>
                <w:b/>
                <w:bCs/>
                <w:color w:val="000000" w:themeColor="dark1"/>
                <w:kern w:val="24"/>
                <w:sz w:val="24"/>
              </w:rPr>
              <w:t>6</w:t>
            </w:r>
            <w:r w:rsidRPr="00E35DE6">
              <w:rPr>
                <w:rFonts w:ascii="Calibri" w:hAnsi="Calibri" w:cs="Calibri"/>
                <w:b/>
                <w:bCs/>
                <w:color w:val="000000" w:themeColor="dark1"/>
                <w:kern w:val="24"/>
                <w:sz w:val="24"/>
              </w:rPr>
              <w:t>/1</w:t>
            </w:r>
            <w:r>
              <w:rPr>
                <w:rFonts w:ascii="Calibri" w:hAnsi="Calibri" w:cs="Calibri"/>
                <w:b/>
                <w:bCs/>
                <w:color w:val="000000" w:themeColor="dark1"/>
                <w:kern w:val="24"/>
                <w:sz w:val="24"/>
              </w:rPr>
              <w:t>7</w:t>
            </w:r>
            <w:r w:rsidRPr="00E35DE6">
              <w:rPr>
                <w:rFonts w:ascii="Calibri" w:hAnsi="Calibri" w:cs="Calibri"/>
                <w:b/>
                <w:bCs/>
                <w:color w:val="000000" w:themeColor="dark1"/>
                <w:kern w:val="24"/>
                <w:sz w:val="24"/>
              </w:rPr>
              <w:t>-22/23)</w:t>
            </w:r>
          </w:p>
        </w:tc>
      </w:tr>
      <w:tr w:rsidR="00527759" w:rsidRPr="00E35DE6" w14:paraId="6D6A26BE"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9604E6E"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CALIFORNIA STATE UNIVERSITY - BAKERSFIELD</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EADD24F"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505</w:t>
            </w:r>
          </w:p>
        </w:tc>
      </w:tr>
      <w:tr w:rsidR="00527759" w:rsidRPr="00E35DE6" w14:paraId="44E311B0"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C5D4594"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CALIFORNIA STATE UNIVERSITY - FRESNO</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14310AA"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20</w:t>
            </w:r>
          </w:p>
        </w:tc>
      </w:tr>
      <w:tr w:rsidR="00527759" w:rsidRPr="00E35DE6" w14:paraId="11489521"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62A7529"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ARIZONA STATE UNIVERSITY</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5DD9923"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20</w:t>
            </w:r>
          </w:p>
        </w:tc>
      </w:tr>
      <w:tr w:rsidR="00527759" w:rsidRPr="00E35DE6" w14:paraId="750B6D45"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88DDC6B"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FRESNO PACIFIC UNIVERSITY</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654DCF02"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20</w:t>
            </w:r>
          </w:p>
        </w:tc>
      </w:tr>
      <w:tr w:rsidR="00527759" w:rsidRPr="00E35DE6" w14:paraId="7F4B88A0"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26BDF56"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 xml:space="preserve">WESTERN </w:t>
            </w:r>
            <w:proofErr w:type="gramStart"/>
            <w:r w:rsidRPr="00E35DE6">
              <w:rPr>
                <w:rFonts w:ascii="Calibri" w:hAnsi="Calibri" w:cs="Calibri"/>
                <w:color w:val="000000" w:themeColor="dark1"/>
                <w:kern w:val="24"/>
                <w:sz w:val="24"/>
              </w:rPr>
              <w:t>GOVERNORS</w:t>
            </w:r>
            <w:proofErr w:type="gramEnd"/>
            <w:r w:rsidRPr="00E35DE6">
              <w:rPr>
                <w:rFonts w:ascii="Calibri" w:hAnsi="Calibri" w:cs="Calibri"/>
                <w:color w:val="000000" w:themeColor="dark1"/>
                <w:kern w:val="24"/>
                <w:sz w:val="24"/>
              </w:rPr>
              <w:t xml:space="preserve"> UNIVERSITY</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F63B60B"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17</w:t>
            </w:r>
          </w:p>
        </w:tc>
      </w:tr>
      <w:tr w:rsidR="00527759" w:rsidRPr="00E35DE6" w14:paraId="5FFEB744"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FC57104"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UNIVERSITY OF PHOENIX</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48D68EB"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16</w:t>
            </w:r>
          </w:p>
        </w:tc>
      </w:tr>
      <w:tr w:rsidR="00527759" w:rsidRPr="00E35DE6" w14:paraId="0951BDCE"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9C998E0"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CALIFORNIA STATE UNIVERSITY - LONG BEACH</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5FA95CD"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14</w:t>
            </w:r>
          </w:p>
        </w:tc>
      </w:tr>
      <w:tr w:rsidR="00527759" w:rsidRPr="00E35DE6" w14:paraId="3188188D"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FEB43A2"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POINT LOMA NAZARENE UNIVERSITY</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F8E4F62"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13</w:t>
            </w:r>
          </w:p>
        </w:tc>
      </w:tr>
      <w:tr w:rsidR="00527759" w:rsidRPr="00E35DE6" w14:paraId="2E67A0AF"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D22AAAB"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NATIONAL UNIVERSITY</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5FA4CF8"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13</w:t>
            </w:r>
          </w:p>
        </w:tc>
      </w:tr>
      <w:tr w:rsidR="00527759" w:rsidRPr="00E35DE6" w14:paraId="5A1E354B"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88C2434"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GRAND CANYON UNIVERSITY</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355B570"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13</w:t>
            </w:r>
          </w:p>
        </w:tc>
      </w:tr>
      <w:tr w:rsidR="00527759" w:rsidRPr="00E35DE6" w14:paraId="3FDE5821"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3EF7382"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CALIFORNIA STATE UNIVERSITY- NORTHRIDGE</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42F2655"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13</w:t>
            </w:r>
          </w:p>
        </w:tc>
      </w:tr>
      <w:tr w:rsidR="00527759" w:rsidRPr="00E35DE6" w14:paraId="4DC85121"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FE7CE3E"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SAN DIEGO STATE UNIVERSITY</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ADFFBB7"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10</w:t>
            </w:r>
          </w:p>
        </w:tc>
      </w:tr>
      <w:tr w:rsidR="00527759" w:rsidRPr="00E35DE6" w14:paraId="485A4444"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8DD3AEE"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SOUTHERN NEW HAMPSHIRE- 09WEEK</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A2A6B10"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10</w:t>
            </w:r>
          </w:p>
        </w:tc>
      </w:tr>
    </w:tbl>
    <w:p w14:paraId="49F9BD7E" w14:textId="6801E2DA" w:rsidR="00527759"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0"/>
          <w:szCs w:val="20"/>
        </w:rPr>
      </w:pPr>
      <w:r w:rsidRPr="00CC5AF3">
        <w:rPr>
          <w:rFonts w:asciiTheme="minorHAnsi" w:eastAsiaTheme="minorEastAsia" w:hAnsi="Calibri" w:cstheme="minorBidi"/>
          <w:i/>
          <w:iCs/>
          <w:color w:val="000000" w:themeColor="text1"/>
          <w:kern w:val="24"/>
          <w:sz w:val="20"/>
          <w:szCs w:val="20"/>
        </w:rPr>
        <w:t>Source: Taft College Office of Institutional Research and Planning</w:t>
      </w:r>
      <w:r w:rsidR="003A0A6E">
        <w:rPr>
          <w:rFonts w:asciiTheme="minorHAnsi" w:eastAsiaTheme="minorEastAsia" w:hAnsi="Calibri" w:cstheme="minorBidi"/>
          <w:i/>
          <w:iCs/>
          <w:color w:val="000000" w:themeColor="text1"/>
          <w:kern w:val="24"/>
          <w:sz w:val="20"/>
          <w:szCs w:val="20"/>
        </w:rPr>
        <w:t>.</w:t>
      </w:r>
    </w:p>
    <w:p w14:paraId="37B5B763" w14:textId="77777777" w:rsidR="003A0A6E" w:rsidRPr="003A0A6E" w:rsidRDefault="003A0A6E" w:rsidP="003A0A6E">
      <w:pPr>
        <w:rPr>
          <w:i/>
          <w:iCs/>
          <w:sz w:val="20"/>
          <w:szCs w:val="20"/>
        </w:rPr>
      </w:pPr>
      <w:r w:rsidRPr="003A0A6E">
        <w:rPr>
          <w:i/>
          <w:iCs/>
          <w:sz w:val="20"/>
          <w:szCs w:val="20"/>
        </w:rPr>
        <w:t xml:space="preserve">Note: about half of these 4-year colleges and universities are fully </w:t>
      </w:r>
      <w:proofErr w:type="gramStart"/>
      <w:r w:rsidRPr="003A0A6E">
        <w:rPr>
          <w:i/>
          <w:iCs/>
          <w:sz w:val="20"/>
          <w:szCs w:val="20"/>
        </w:rPr>
        <w:t>online, or</w:t>
      </w:r>
      <w:proofErr w:type="gramEnd"/>
      <w:r w:rsidRPr="003A0A6E">
        <w:rPr>
          <w:i/>
          <w:iCs/>
          <w:sz w:val="20"/>
          <w:szCs w:val="20"/>
        </w:rPr>
        <w:t xml:space="preserve"> have substantial online degree completion programs.</w:t>
      </w:r>
    </w:p>
    <w:p w14:paraId="1F9B203B" w14:textId="77777777" w:rsidR="003A0A6E" w:rsidRPr="00CC5AF3" w:rsidRDefault="003A0A6E" w:rsidP="00527759">
      <w:pPr>
        <w:pStyle w:val="NormalWeb"/>
        <w:spacing w:before="0" w:beforeAutospacing="0" w:after="0" w:afterAutospacing="0"/>
        <w:rPr>
          <w:rFonts w:asciiTheme="minorHAnsi" w:eastAsiaTheme="minorEastAsia" w:hAnsi="Calibri" w:cstheme="minorBidi"/>
          <w:i/>
          <w:iCs/>
          <w:color w:val="000000" w:themeColor="text1"/>
          <w:kern w:val="24"/>
          <w:sz w:val="20"/>
          <w:szCs w:val="20"/>
        </w:rPr>
      </w:pPr>
    </w:p>
    <w:p w14:paraId="2572FC8B" w14:textId="77777777" w:rsidR="00527759" w:rsidRDefault="00527759" w:rsidP="00527759">
      <w:r>
        <w:t>By far, the top transfer destination for Taft College transfer students in California State University, Bakersfield. Tied for a distant second are CSU Fresno, Arizona State University, and Fresno Pacific College.</w:t>
      </w:r>
    </w:p>
    <w:p w14:paraId="751F4B4B" w14:textId="51492782" w:rsidR="001509DE" w:rsidRDefault="00527759" w:rsidP="008F2145">
      <w:pPr>
        <w:rPr>
          <w:rFonts w:eastAsia="DengXian Light"/>
        </w:rPr>
      </w:pPr>
      <w:bookmarkStart w:id="276" w:name="_Toc194324290"/>
      <w:r w:rsidRPr="00F20D6C">
        <w:rPr>
          <w:rFonts w:eastAsia="DengXian Light"/>
        </w:rPr>
        <w:t>UC and CSU Acceptance and Enrollment Rates Compared</w:t>
      </w:r>
      <w:bookmarkEnd w:id="276"/>
    </w:p>
    <w:p w14:paraId="533B7A3F" w14:textId="77777777" w:rsidR="003A0A6E" w:rsidRPr="003A0A6E" w:rsidRDefault="003A0A6E" w:rsidP="003A0A6E">
      <w:pPr>
        <w:rPr>
          <w:rFonts w:eastAsia="DengXian Light"/>
        </w:rPr>
      </w:pPr>
    </w:p>
    <w:p w14:paraId="571C11A8" w14:textId="77777777" w:rsidR="00527759" w:rsidRPr="00F20D6C" w:rsidRDefault="00527759" w:rsidP="003A0A6E">
      <w:r w:rsidRPr="00F20D6C">
        <w:t>Fall 2023 UC and CSU Rates</w:t>
      </w:r>
    </w:p>
    <w:p w14:paraId="6ADE3EE2" w14:textId="77777777" w:rsidR="00527759" w:rsidRPr="00F20D6C" w:rsidRDefault="00527759" w:rsidP="00527759">
      <w:pPr>
        <w:rPr>
          <w:rFonts w:ascii="Calibri" w:hAnsi="Calibri"/>
          <w:i/>
          <w:iCs/>
        </w:rPr>
      </w:pPr>
      <w:r w:rsidRPr="00F20D6C">
        <w:rPr>
          <w:rFonts w:ascii="Calibri" w:hAnsi="Calibri"/>
          <w:noProof/>
        </w:rPr>
        <w:drawing>
          <wp:inline distT="0" distB="0" distL="0" distR="0" wp14:anchorId="03C93A57" wp14:editId="59CFC198">
            <wp:extent cx="5943600" cy="1631950"/>
            <wp:effectExtent l="0" t="0" r="0" b="6350"/>
            <wp:docPr id="1502764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74657" name=""/>
                    <pic:cNvPicPr/>
                  </pic:nvPicPr>
                  <pic:blipFill>
                    <a:blip r:embed="rId114"/>
                    <a:stretch>
                      <a:fillRect/>
                    </a:stretch>
                  </pic:blipFill>
                  <pic:spPr>
                    <a:xfrm>
                      <a:off x="0" y="0"/>
                      <a:ext cx="5943600" cy="1631950"/>
                    </a:xfrm>
                    <a:prstGeom prst="rect">
                      <a:avLst/>
                    </a:prstGeom>
                  </pic:spPr>
                </pic:pic>
              </a:graphicData>
            </a:graphic>
          </wp:inline>
        </w:drawing>
      </w:r>
    </w:p>
    <w:p w14:paraId="6B1F50AC" w14:textId="2BCD9B01" w:rsidR="00527759" w:rsidRPr="003A0A6E" w:rsidRDefault="00527759" w:rsidP="00527759">
      <w:pPr>
        <w:rPr>
          <w:rFonts w:ascii="Calibri" w:hAnsi="Calibri"/>
          <w:sz w:val="20"/>
          <w:szCs w:val="20"/>
        </w:rPr>
      </w:pPr>
      <w:r w:rsidRPr="003A0A6E">
        <w:rPr>
          <w:rFonts w:ascii="Calibri" w:hAnsi="Calibri"/>
          <w:i/>
          <w:iCs/>
          <w:sz w:val="20"/>
          <w:szCs w:val="20"/>
        </w:rPr>
        <w:t xml:space="preserve">Source: </w:t>
      </w:r>
      <w:hyperlink r:id="rId115" w:history="1">
        <w:r w:rsidRPr="003A0A6E">
          <w:rPr>
            <w:rFonts w:ascii="Calibri" w:hAnsi="Calibri"/>
            <w:i/>
            <w:iCs/>
            <w:color w:val="000000"/>
            <w:kern w:val="24"/>
            <w:sz w:val="20"/>
            <w:szCs w:val="20"/>
            <w:u w:val="single"/>
          </w:rPr>
          <w:t>UCOP Info Center</w:t>
        </w:r>
      </w:hyperlink>
      <w:r w:rsidRPr="003A0A6E">
        <w:rPr>
          <w:rFonts w:ascii="Calibri" w:hAnsi="Calibri"/>
          <w:i/>
          <w:iCs/>
          <w:sz w:val="20"/>
          <w:szCs w:val="20"/>
        </w:rPr>
        <w:t xml:space="preserve">, and </w:t>
      </w:r>
      <w:hyperlink r:id="rId116" w:history="1">
        <w:r w:rsidRPr="003A0A6E">
          <w:rPr>
            <w:rFonts w:ascii="Calibri" w:hAnsi="Calibri"/>
            <w:i/>
            <w:iCs/>
            <w:color w:val="000000"/>
            <w:kern w:val="24"/>
            <w:sz w:val="20"/>
            <w:szCs w:val="20"/>
            <w:u w:val="single"/>
          </w:rPr>
          <w:t>CSU Data Analytics</w:t>
        </w:r>
      </w:hyperlink>
      <w:r w:rsidR="003A0A6E" w:rsidRPr="003A0A6E">
        <w:rPr>
          <w:rFonts w:ascii="Calibri" w:hAnsi="Calibri"/>
          <w:i/>
          <w:iCs/>
          <w:color w:val="000000"/>
          <w:kern w:val="24"/>
          <w:sz w:val="20"/>
          <w:szCs w:val="20"/>
          <w:u w:val="single"/>
        </w:rPr>
        <w:t>.</w:t>
      </w:r>
    </w:p>
    <w:p w14:paraId="2B66B7F8" w14:textId="3CD04016" w:rsidR="00527759" w:rsidRDefault="00527759" w:rsidP="00527759">
      <w:pPr>
        <w:rPr>
          <w:rFonts w:ascii="Calibri" w:hAnsi="Calibri"/>
        </w:rPr>
      </w:pPr>
      <w:r w:rsidRPr="00F20D6C">
        <w:rPr>
          <w:rFonts w:ascii="Calibri" w:hAnsi="Calibri"/>
        </w:rPr>
        <w:t>Taft College students post lower acceptance rates to the University of California and to the California State University System, but higher enrollment rates. In other words, fewer Taft College students are accepted to a UC or CSU, but of those who are accepted, a higher proportion actually enroll,</w:t>
      </w:r>
      <w:r w:rsidR="006073A2">
        <w:rPr>
          <w:rFonts w:ascii="Calibri" w:hAnsi="Calibri"/>
        </w:rPr>
        <w:t xml:space="preserve"> </w:t>
      </w:r>
      <w:r w:rsidRPr="00F20D6C">
        <w:rPr>
          <w:rFonts w:ascii="Calibri" w:hAnsi="Calibri"/>
        </w:rPr>
        <w:t>as compared to statewide CCC</w:t>
      </w:r>
      <w:r w:rsidR="00CC5AF3">
        <w:rPr>
          <w:rFonts w:ascii="Calibri" w:hAnsi="Calibri"/>
        </w:rPr>
        <w:t xml:space="preserve"> </w:t>
      </w:r>
      <w:r w:rsidRPr="00F20D6C">
        <w:rPr>
          <w:rFonts w:ascii="Calibri" w:hAnsi="Calibri"/>
        </w:rPr>
        <w:t>averages.</w:t>
      </w:r>
      <w:bookmarkStart w:id="277" w:name="_Toc168762766"/>
    </w:p>
    <w:p w14:paraId="1EAC64B6" w14:textId="0D5713E7" w:rsidR="00527759" w:rsidRDefault="00527759" w:rsidP="00816B2E">
      <w:pPr>
        <w:pStyle w:val="Heading2"/>
        <w:rPr>
          <w:i/>
          <w:iCs/>
        </w:rPr>
      </w:pPr>
      <w:bookmarkStart w:id="278" w:name="_Toc194931272"/>
      <w:bookmarkStart w:id="279" w:name="_Toc194931597"/>
      <w:r>
        <w:lastRenderedPageBreak/>
        <w:t xml:space="preserve">Student Outcomes: </w:t>
      </w:r>
      <w:r w:rsidRPr="00F20D6C">
        <w:t>Short-Term Career Students</w:t>
      </w:r>
      <w:bookmarkEnd w:id="277"/>
      <w:r w:rsidRPr="00F20D6C">
        <w:t xml:space="preserve"> </w:t>
      </w:r>
      <w:r w:rsidRPr="00F20D6C">
        <w:rPr>
          <w:i/>
          <w:iCs/>
        </w:rPr>
        <w:t xml:space="preserve">(primarily </w:t>
      </w:r>
      <w:r w:rsidR="00CE7648">
        <w:rPr>
          <w:i/>
          <w:iCs/>
        </w:rPr>
        <w:t>WESTEC</w:t>
      </w:r>
      <w:r w:rsidRPr="00F20D6C">
        <w:rPr>
          <w:i/>
          <w:iCs/>
        </w:rPr>
        <w:t>)</w:t>
      </w:r>
      <w:bookmarkEnd w:id="278"/>
      <w:bookmarkEnd w:id="279"/>
    </w:p>
    <w:p w14:paraId="12A58DB6" w14:textId="77777777" w:rsidR="001509DE" w:rsidRPr="00F20D6C" w:rsidRDefault="001509DE" w:rsidP="001509DE"/>
    <w:p w14:paraId="086055A6" w14:textId="62A3698B" w:rsidR="00D540D8" w:rsidRDefault="00D540D8" w:rsidP="00CB2591">
      <w:pPr>
        <w:rPr>
          <w:rFonts w:ascii="Calibri" w:hAnsi="Calibri"/>
          <w:i/>
          <w:iCs/>
          <w:sz w:val="20"/>
          <w:szCs w:val="20"/>
        </w:rPr>
      </w:pPr>
      <w:r>
        <w:rPr>
          <w:noProof/>
        </w:rPr>
        <w:drawing>
          <wp:inline distT="0" distB="0" distL="0" distR="0" wp14:anchorId="3214E2D9" wp14:editId="664F6124">
            <wp:extent cx="6400128" cy="2990850"/>
            <wp:effectExtent l="0" t="0" r="1270" b="0"/>
            <wp:docPr id="641749722" name="Picture 4" descr="A graph with a line and numbers&#10;&#10;Description automatically generated">
              <a:extLst xmlns:a="http://schemas.openxmlformats.org/drawingml/2006/main">
                <a:ext uri="{FF2B5EF4-FFF2-40B4-BE49-F238E27FC236}">
                  <a16:creationId xmlns:a16="http://schemas.microsoft.com/office/drawing/2014/main" id="{DF1A1ECD-F083-8462-ECAA-ACBA04F669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49722" name="Picture 4" descr="A graph with a line and numbers&#10;&#10;Description automatically generated">
                      <a:extLst>
                        <a:ext uri="{FF2B5EF4-FFF2-40B4-BE49-F238E27FC236}">
                          <a16:creationId xmlns:a16="http://schemas.microsoft.com/office/drawing/2014/main" id="{DF1A1ECD-F083-8462-ECAA-ACBA04F669D3}"/>
                        </a:ext>
                      </a:extLst>
                    </pic:cNvPr>
                    <pic:cNvPicPr>
                      <a:picLocks noChangeAspect="1"/>
                    </pic:cNvPicPr>
                  </pic:nvPicPr>
                  <pic:blipFill>
                    <a:blip r:embed="rId117"/>
                    <a:stretch>
                      <a:fillRect/>
                    </a:stretch>
                  </pic:blipFill>
                  <pic:spPr>
                    <a:xfrm>
                      <a:off x="0" y="0"/>
                      <a:ext cx="6412773" cy="2996759"/>
                    </a:xfrm>
                    <a:prstGeom prst="rect">
                      <a:avLst/>
                    </a:prstGeom>
                  </pic:spPr>
                </pic:pic>
              </a:graphicData>
            </a:graphic>
          </wp:inline>
        </w:drawing>
      </w:r>
    </w:p>
    <w:p w14:paraId="56A055C2" w14:textId="7334DC9B" w:rsidR="00527759" w:rsidRPr="00D540D8" w:rsidRDefault="00527759" w:rsidP="00527759">
      <w:pPr>
        <w:rPr>
          <w:rFonts w:ascii="Calibri" w:hAnsi="Calibri"/>
          <w:i/>
          <w:iCs/>
          <w:sz w:val="20"/>
          <w:szCs w:val="20"/>
        </w:rPr>
      </w:pPr>
      <w:r w:rsidRPr="00F20D6C">
        <w:rPr>
          <w:rFonts w:ascii="Calibri" w:hAnsi="Calibri"/>
          <w:i/>
          <w:iCs/>
          <w:sz w:val="20"/>
          <w:szCs w:val="20"/>
        </w:rPr>
        <w:t xml:space="preserve">Source: </w:t>
      </w:r>
      <w:r w:rsidR="00CB2591" w:rsidRPr="00CC5AF3">
        <w:rPr>
          <w:rFonts w:ascii="Calibri" w:hAnsi="Calibri"/>
          <w:i/>
          <w:iCs/>
          <w:sz w:val="20"/>
          <w:szCs w:val="20"/>
        </w:rPr>
        <w:t xml:space="preserve">Source: </w:t>
      </w:r>
      <w:hyperlink r:id="rId118" w:history="1">
        <w:r w:rsidR="00CB2591" w:rsidRPr="00CC5AF3">
          <w:rPr>
            <w:rFonts w:ascii="Calibri" w:hAnsi="Calibri"/>
            <w:i/>
            <w:iCs/>
            <w:color w:val="0563C1"/>
            <w:sz w:val="20"/>
            <w:szCs w:val="20"/>
            <w:u w:val="single"/>
          </w:rPr>
          <w:t xml:space="preserve">CCCCO </w:t>
        </w:r>
      </w:hyperlink>
      <w:r w:rsidR="006073A2">
        <w:rPr>
          <w:rFonts w:ascii="Calibri" w:hAnsi="Calibri"/>
          <w:i/>
          <w:iCs/>
          <w:color w:val="0563C1"/>
          <w:sz w:val="20"/>
          <w:szCs w:val="20"/>
          <w:u w:val="single"/>
        </w:rPr>
        <w:t>DataVista.</w:t>
      </w:r>
    </w:p>
    <w:p w14:paraId="6006E3CB" w14:textId="73AE2A38" w:rsidR="00527759" w:rsidRPr="00F20D6C" w:rsidRDefault="00527759" w:rsidP="00527759">
      <w:pPr>
        <w:rPr>
          <w:rFonts w:ascii="Calibri" w:hAnsi="Calibri"/>
        </w:rPr>
      </w:pPr>
      <w:r w:rsidRPr="00F20D6C">
        <w:rPr>
          <w:rFonts w:ascii="Calibri" w:hAnsi="Calibri"/>
        </w:rPr>
        <w:t xml:space="preserve">Taft College students with the goal of Short-Term Career </w:t>
      </w:r>
      <w:proofErr w:type="gramStart"/>
      <w:r w:rsidRPr="00F20D6C">
        <w:rPr>
          <w:rFonts w:ascii="Calibri" w:hAnsi="Calibri"/>
        </w:rPr>
        <w:t>likely represent</w:t>
      </w:r>
      <w:proofErr w:type="gramEnd"/>
      <w:r w:rsidRPr="00F20D6C">
        <w:rPr>
          <w:rFonts w:ascii="Calibri" w:hAnsi="Calibri"/>
        </w:rPr>
        <w:t xml:space="preserve"> all students enrolled at the </w:t>
      </w:r>
      <w:r w:rsidR="00CE7648">
        <w:rPr>
          <w:rFonts w:ascii="Calibri" w:hAnsi="Calibri"/>
        </w:rPr>
        <w:t>WESTEC</w:t>
      </w:r>
      <w:r w:rsidRPr="00F20D6C">
        <w:rPr>
          <w:rFonts w:ascii="Calibri" w:hAnsi="Calibri"/>
        </w:rPr>
        <w:t xml:space="preserve"> site, and possibly some students enrolled at Taft College who share that specific educational goal.</w:t>
      </w:r>
    </w:p>
    <w:p w14:paraId="035DC74E" w14:textId="2E1E3A7D" w:rsidR="00527759" w:rsidRDefault="00527759" w:rsidP="00527759">
      <w:pPr>
        <w:rPr>
          <w:rFonts w:ascii="Calibri" w:hAnsi="Calibri"/>
        </w:rPr>
      </w:pPr>
      <w:r w:rsidRPr="00F20D6C">
        <w:rPr>
          <w:rFonts w:ascii="Calibri" w:hAnsi="Calibri"/>
        </w:rPr>
        <w:t xml:space="preserve">The number of Taft College students (likely mostly </w:t>
      </w:r>
      <w:r w:rsidR="00CE7648">
        <w:rPr>
          <w:rFonts w:ascii="Calibri" w:hAnsi="Calibri"/>
        </w:rPr>
        <w:t>WESTEC</w:t>
      </w:r>
      <w:r w:rsidRPr="00F20D6C">
        <w:rPr>
          <w:rFonts w:ascii="Calibri" w:hAnsi="Calibri"/>
        </w:rPr>
        <w:t xml:space="preserve"> students) with the goal of building skills to advance their careers has varied over the past years, with a noticeable dip during the </w:t>
      </w:r>
      <w:r w:rsidR="00BC2144">
        <w:rPr>
          <w:rFonts w:ascii="Calibri" w:hAnsi="Calibri"/>
        </w:rPr>
        <w:t>COVID-19 pandemic</w:t>
      </w:r>
      <w:r w:rsidRPr="00F20D6C">
        <w:rPr>
          <w:rFonts w:ascii="Calibri" w:hAnsi="Calibri"/>
        </w:rPr>
        <w:t xml:space="preserve"> between 2019 and 2021, when course offerings at </w:t>
      </w:r>
      <w:r w:rsidR="00CE7648">
        <w:rPr>
          <w:rFonts w:ascii="Calibri" w:hAnsi="Calibri"/>
        </w:rPr>
        <w:t>WESTEC</w:t>
      </w:r>
      <w:r w:rsidRPr="00F20D6C">
        <w:rPr>
          <w:rFonts w:ascii="Calibri" w:hAnsi="Calibri"/>
        </w:rPr>
        <w:t xml:space="preserve"> also dipped due to restrictions on in-person instruction.</w:t>
      </w:r>
    </w:p>
    <w:p w14:paraId="6E1DB003" w14:textId="03F65549" w:rsidR="00D540D8" w:rsidRDefault="00D540D8" w:rsidP="00527759">
      <w:pPr>
        <w:rPr>
          <w:rFonts w:ascii="Calibri" w:hAnsi="Calibri"/>
        </w:rPr>
      </w:pPr>
      <w:r>
        <w:rPr>
          <w:noProof/>
        </w:rPr>
        <w:drawing>
          <wp:inline distT="0" distB="0" distL="0" distR="0" wp14:anchorId="1C327E1B" wp14:editId="581C8835">
            <wp:extent cx="6399530" cy="3305175"/>
            <wp:effectExtent l="0" t="0" r="1270" b="9525"/>
            <wp:docPr id="2107334937" name="Picture 5" descr="A graph of a number of people&#10;&#10;Description automatically generated with medium confidence">
              <a:extLst xmlns:a="http://schemas.openxmlformats.org/drawingml/2006/main">
                <a:ext uri="{FF2B5EF4-FFF2-40B4-BE49-F238E27FC236}">
                  <a16:creationId xmlns:a16="http://schemas.microsoft.com/office/drawing/2014/main" id="{1994C0C2-079F-3ACF-E981-0FD634BA3B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34937" name="Picture 5" descr="A graph of a number of people&#10;&#10;Description automatically generated with medium confidence">
                      <a:extLst>
                        <a:ext uri="{FF2B5EF4-FFF2-40B4-BE49-F238E27FC236}">
                          <a16:creationId xmlns:a16="http://schemas.microsoft.com/office/drawing/2014/main" id="{1994C0C2-079F-3ACF-E981-0FD634BA3BC7}"/>
                        </a:ext>
                      </a:extLst>
                    </pic:cNvPr>
                    <pic:cNvPicPr>
                      <a:picLocks noChangeAspect="1"/>
                    </pic:cNvPicPr>
                  </pic:nvPicPr>
                  <pic:blipFill>
                    <a:blip r:embed="rId119"/>
                    <a:stretch>
                      <a:fillRect/>
                    </a:stretch>
                  </pic:blipFill>
                  <pic:spPr>
                    <a:xfrm>
                      <a:off x="0" y="0"/>
                      <a:ext cx="6406807" cy="3308933"/>
                    </a:xfrm>
                    <a:prstGeom prst="rect">
                      <a:avLst/>
                    </a:prstGeom>
                  </pic:spPr>
                </pic:pic>
              </a:graphicData>
            </a:graphic>
          </wp:inline>
        </w:drawing>
      </w:r>
    </w:p>
    <w:p w14:paraId="2BE140E7" w14:textId="36CE679E" w:rsidR="00CB2591" w:rsidRPr="00CC5AF3" w:rsidRDefault="00CB2591" w:rsidP="00CB2591">
      <w:pPr>
        <w:rPr>
          <w:rFonts w:ascii="Calibri" w:hAnsi="Calibri"/>
          <w:i/>
          <w:iCs/>
          <w:sz w:val="20"/>
          <w:szCs w:val="20"/>
        </w:rPr>
      </w:pPr>
      <w:r w:rsidRPr="00CC5AF3">
        <w:rPr>
          <w:rFonts w:ascii="Calibri" w:hAnsi="Calibri"/>
          <w:i/>
          <w:iCs/>
          <w:sz w:val="20"/>
          <w:szCs w:val="20"/>
        </w:rPr>
        <w:t xml:space="preserve">Source: </w:t>
      </w:r>
      <w:hyperlink r:id="rId120" w:history="1">
        <w:r w:rsidRPr="00CC5AF3">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hyperlink>
    </w:p>
    <w:p w14:paraId="7199E786" w14:textId="3D9FE2DA" w:rsidR="00527759" w:rsidRDefault="00527759" w:rsidP="00527759">
      <w:pPr>
        <w:rPr>
          <w:rFonts w:ascii="Calibri" w:hAnsi="Calibri"/>
        </w:rPr>
      </w:pPr>
      <w:r w:rsidRPr="00F20D6C">
        <w:rPr>
          <w:rFonts w:ascii="Calibri" w:hAnsi="Calibri"/>
        </w:rPr>
        <w:t xml:space="preserve">The majority of Short-Term CTE students (likely mostly </w:t>
      </w:r>
      <w:r w:rsidR="00CE7648">
        <w:rPr>
          <w:rFonts w:ascii="Calibri" w:hAnsi="Calibri"/>
        </w:rPr>
        <w:t>WESTEC</w:t>
      </w:r>
      <w:r w:rsidRPr="00F20D6C">
        <w:rPr>
          <w:rFonts w:ascii="Calibri" w:hAnsi="Calibri"/>
        </w:rPr>
        <w:t xml:space="preserve"> students) are Latino.</w:t>
      </w:r>
    </w:p>
    <w:p w14:paraId="6E215377" w14:textId="0F8BE1FD" w:rsidR="00D540D8" w:rsidRDefault="00D540D8" w:rsidP="00527759">
      <w:pPr>
        <w:rPr>
          <w:rFonts w:ascii="Calibri" w:hAnsi="Calibri"/>
        </w:rPr>
      </w:pPr>
      <w:r>
        <w:rPr>
          <w:noProof/>
        </w:rPr>
        <w:lastRenderedPageBreak/>
        <w:drawing>
          <wp:inline distT="0" distB="0" distL="0" distR="0" wp14:anchorId="04694DCD" wp14:editId="56DA6F5D">
            <wp:extent cx="6400314" cy="3238500"/>
            <wp:effectExtent l="0" t="0" r="635" b="0"/>
            <wp:docPr id="415770910" name="Picture 6" descr="A graph with purple squares&#10;&#10;Description automatically generated">
              <a:extLst xmlns:a="http://schemas.openxmlformats.org/drawingml/2006/main">
                <a:ext uri="{FF2B5EF4-FFF2-40B4-BE49-F238E27FC236}">
                  <a16:creationId xmlns:a16="http://schemas.microsoft.com/office/drawing/2014/main" id="{85A041E5-F997-F7E4-5CED-B04128CFAF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70910" name="Picture 6" descr="A graph with purple squares&#10;&#10;Description automatically generated">
                      <a:extLst>
                        <a:ext uri="{FF2B5EF4-FFF2-40B4-BE49-F238E27FC236}">
                          <a16:creationId xmlns:a16="http://schemas.microsoft.com/office/drawing/2014/main" id="{85A041E5-F997-F7E4-5CED-B04128CFAF3E}"/>
                        </a:ext>
                      </a:extLst>
                    </pic:cNvPr>
                    <pic:cNvPicPr>
                      <a:picLocks noChangeAspect="1"/>
                    </pic:cNvPicPr>
                  </pic:nvPicPr>
                  <pic:blipFill>
                    <a:blip r:embed="rId121"/>
                    <a:stretch>
                      <a:fillRect/>
                    </a:stretch>
                  </pic:blipFill>
                  <pic:spPr>
                    <a:xfrm>
                      <a:off x="0" y="0"/>
                      <a:ext cx="6402886" cy="3239801"/>
                    </a:xfrm>
                    <a:prstGeom prst="rect">
                      <a:avLst/>
                    </a:prstGeom>
                  </pic:spPr>
                </pic:pic>
              </a:graphicData>
            </a:graphic>
          </wp:inline>
        </w:drawing>
      </w:r>
    </w:p>
    <w:p w14:paraId="2C6211E9" w14:textId="58F6C4D4" w:rsidR="00CB2591" w:rsidRPr="00CC5AF3" w:rsidRDefault="00CB2591" w:rsidP="00CB2591">
      <w:pPr>
        <w:rPr>
          <w:rFonts w:ascii="Calibri" w:hAnsi="Calibri"/>
          <w:i/>
          <w:iCs/>
          <w:sz w:val="20"/>
          <w:szCs w:val="20"/>
        </w:rPr>
      </w:pPr>
      <w:bookmarkStart w:id="280" w:name="_Toc168762767"/>
      <w:r w:rsidRPr="00CC5AF3">
        <w:rPr>
          <w:rFonts w:ascii="Calibri" w:hAnsi="Calibri"/>
          <w:i/>
          <w:iCs/>
          <w:sz w:val="20"/>
          <w:szCs w:val="20"/>
        </w:rPr>
        <w:t xml:space="preserve">Source: </w:t>
      </w:r>
      <w:hyperlink r:id="rId122" w:history="1">
        <w:r w:rsidRPr="00CC5AF3">
          <w:rPr>
            <w:rFonts w:ascii="Calibri" w:hAnsi="Calibri"/>
            <w:i/>
            <w:iCs/>
            <w:color w:val="0563C1"/>
            <w:sz w:val="20"/>
            <w:szCs w:val="20"/>
            <w:u w:val="single"/>
          </w:rPr>
          <w:t xml:space="preserve">CCCCO </w:t>
        </w:r>
      </w:hyperlink>
      <w:r w:rsidR="006073A2">
        <w:rPr>
          <w:rFonts w:ascii="Calibri" w:hAnsi="Calibri"/>
          <w:i/>
          <w:iCs/>
          <w:color w:val="0563C1"/>
          <w:sz w:val="20"/>
          <w:szCs w:val="20"/>
          <w:u w:val="single"/>
        </w:rPr>
        <w:t>DataVista</w:t>
      </w:r>
      <w:r>
        <w:rPr>
          <w:rFonts w:ascii="Calibri" w:hAnsi="Calibri"/>
          <w:i/>
          <w:iCs/>
          <w:color w:val="0563C1"/>
          <w:sz w:val="20"/>
          <w:szCs w:val="20"/>
          <w:u w:val="single"/>
        </w:rPr>
        <w:t>.</w:t>
      </w:r>
    </w:p>
    <w:p w14:paraId="6BBF68B8" w14:textId="3A89B6A3" w:rsidR="00527759" w:rsidRPr="00F20D6C" w:rsidRDefault="00527759" w:rsidP="00527759">
      <w:pPr>
        <w:rPr>
          <w:rFonts w:ascii="Calibri" w:hAnsi="Calibri"/>
        </w:rPr>
      </w:pPr>
      <w:r w:rsidRPr="00F20D6C">
        <w:rPr>
          <w:rFonts w:ascii="Calibri" w:hAnsi="Calibri"/>
        </w:rPr>
        <w:t xml:space="preserve">The majority of Short-Term CTE students (likely </w:t>
      </w:r>
      <w:r w:rsidR="00CE7648">
        <w:rPr>
          <w:rFonts w:ascii="Calibri" w:hAnsi="Calibri"/>
        </w:rPr>
        <w:t>WESTEC</w:t>
      </w:r>
      <w:r w:rsidRPr="00F20D6C">
        <w:rPr>
          <w:rFonts w:ascii="Calibri" w:hAnsi="Calibri"/>
        </w:rPr>
        <w:t xml:space="preserve"> students) are male.</w:t>
      </w:r>
    </w:p>
    <w:p w14:paraId="7FBFEC54" w14:textId="03C88EBA" w:rsidR="00527759" w:rsidRDefault="00527759" w:rsidP="00F16EFC">
      <w:pPr>
        <w:rPr>
          <w:rFonts w:eastAsia="DengXian Light"/>
        </w:rPr>
      </w:pPr>
      <w:bookmarkStart w:id="281" w:name="_Toc194324292"/>
      <w:r w:rsidRPr="00F20D6C">
        <w:rPr>
          <w:rFonts w:eastAsia="DengXian Light"/>
        </w:rPr>
        <w:t>Course Success Rate</w:t>
      </w:r>
      <w:r>
        <w:rPr>
          <w:rFonts w:eastAsia="DengXian Light"/>
        </w:rPr>
        <w:t xml:space="preserve">, </w:t>
      </w:r>
      <w:r w:rsidRPr="00F20D6C">
        <w:rPr>
          <w:rFonts w:eastAsia="DengXian Light"/>
        </w:rPr>
        <w:t>Short-Term Career Students</w:t>
      </w:r>
      <w:bookmarkEnd w:id="281"/>
    </w:p>
    <w:p w14:paraId="24D68C7C" w14:textId="36C00CEA" w:rsidR="001509DE" w:rsidRPr="001509DE" w:rsidRDefault="00723D79" w:rsidP="00304503">
      <w:pPr>
        <w:rPr>
          <w:rFonts w:eastAsia="DengXian Light"/>
        </w:rPr>
      </w:pPr>
      <w:r>
        <w:rPr>
          <w:noProof/>
        </w:rPr>
        <w:drawing>
          <wp:inline distT="0" distB="0" distL="0" distR="0" wp14:anchorId="00BC370B" wp14:editId="4F983FCA">
            <wp:extent cx="6400165" cy="3657600"/>
            <wp:effectExtent l="0" t="0" r="635" b="0"/>
            <wp:docPr id="1780023333" name="Picture 7" descr="A graph with numbers and a line&#10;&#10;Description automatically generated">
              <a:extLst xmlns:a="http://schemas.openxmlformats.org/drawingml/2006/main">
                <a:ext uri="{FF2B5EF4-FFF2-40B4-BE49-F238E27FC236}">
                  <a16:creationId xmlns:a16="http://schemas.microsoft.com/office/drawing/2014/main" id="{0E3252E8-1CB8-DB2A-3CB6-B56267199A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23333" name="Picture 7" descr="A graph with numbers and a line&#10;&#10;Description automatically generated">
                      <a:extLst>
                        <a:ext uri="{FF2B5EF4-FFF2-40B4-BE49-F238E27FC236}">
                          <a16:creationId xmlns:a16="http://schemas.microsoft.com/office/drawing/2014/main" id="{0E3252E8-1CB8-DB2A-3CB6-B56267199A2B}"/>
                        </a:ext>
                      </a:extLst>
                    </pic:cNvPr>
                    <pic:cNvPicPr>
                      <a:picLocks noChangeAspect="1"/>
                    </pic:cNvPicPr>
                  </pic:nvPicPr>
                  <pic:blipFill>
                    <a:blip r:embed="rId123"/>
                    <a:stretch>
                      <a:fillRect/>
                    </a:stretch>
                  </pic:blipFill>
                  <pic:spPr>
                    <a:xfrm>
                      <a:off x="0" y="0"/>
                      <a:ext cx="6400889" cy="3658014"/>
                    </a:xfrm>
                    <a:prstGeom prst="rect">
                      <a:avLst/>
                    </a:prstGeom>
                  </pic:spPr>
                </pic:pic>
              </a:graphicData>
            </a:graphic>
          </wp:inline>
        </w:drawing>
      </w:r>
    </w:p>
    <w:p w14:paraId="72BBDB84" w14:textId="36C587C9" w:rsidR="00CB2591" w:rsidRPr="00CC5AF3" w:rsidRDefault="00CB2591" w:rsidP="00CB2591">
      <w:pPr>
        <w:rPr>
          <w:rFonts w:ascii="Calibri" w:hAnsi="Calibri"/>
          <w:i/>
          <w:iCs/>
          <w:sz w:val="20"/>
          <w:szCs w:val="20"/>
        </w:rPr>
      </w:pPr>
      <w:r w:rsidRPr="00CC5AF3">
        <w:rPr>
          <w:rFonts w:ascii="Calibri" w:hAnsi="Calibri"/>
          <w:i/>
          <w:iCs/>
          <w:sz w:val="20"/>
          <w:szCs w:val="20"/>
        </w:rPr>
        <w:t xml:space="preserve">Source: </w:t>
      </w:r>
      <w:hyperlink r:id="rId124" w:history="1">
        <w:r w:rsidRPr="00CC5AF3">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hyperlink>
    </w:p>
    <w:p w14:paraId="52C2D3E9" w14:textId="77777777" w:rsidR="00527759" w:rsidRDefault="00527759" w:rsidP="00F16EFC"/>
    <w:p w14:paraId="17488363" w14:textId="2ABC1582" w:rsidR="00527759" w:rsidRDefault="00B86C43" w:rsidP="00723D79">
      <w:pPr>
        <w:pStyle w:val="Heading3"/>
      </w:pPr>
      <w:r>
        <w:br w:type="page"/>
      </w:r>
    </w:p>
    <w:p w14:paraId="3A9B8687" w14:textId="77777777" w:rsidR="00723D79" w:rsidRPr="00723D79" w:rsidRDefault="00723D79" w:rsidP="00723D79">
      <w:pPr>
        <w:spacing w:after="0"/>
        <w:rPr>
          <w:rFonts w:asciiTheme="majorHAnsi" w:hAnsiTheme="majorHAnsi" w:cstheme="majorBidi"/>
          <w:b/>
          <w:bCs/>
          <w:color w:val="4472C4" w:themeColor="accent1"/>
          <w:sz w:val="24"/>
        </w:rPr>
      </w:pPr>
    </w:p>
    <w:p w14:paraId="53E53C76" w14:textId="7C2AC750" w:rsidR="00527759" w:rsidRPr="00F20D6C" w:rsidRDefault="00527759" w:rsidP="00B86C43">
      <w:pPr>
        <w:rPr>
          <w:rFonts w:ascii="Calibri" w:eastAsia="DengXian Light" w:hAnsi="Calibri" w:cs="Calibri"/>
          <w:b/>
          <w:bCs/>
          <w:color w:val="FF9900"/>
          <w:sz w:val="28"/>
          <w:szCs w:val="28"/>
        </w:rPr>
      </w:pPr>
      <w:r w:rsidRPr="00F20D6C">
        <w:t xml:space="preserve">Taft course completion rates for Short-Term CTE (likely </w:t>
      </w:r>
      <w:r w:rsidR="00CE7648">
        <w:t>WESTEC</w:t>
      </w:r>
      <w:r w:rsidRPr="00F20D6C">
        <w:t xml:space="preserve"> students) have remained high in recent years, between 96% and 98%.</w:t>
      </w:r>
    </w:p>
    <w:p w14:paraId="1C4D705B" w14:textId="102D408D" w:rsidR="00527759" w:rsidRPr="00F20D6C" w:rsidRDefault="00723D79" w:rsidP="00B86C43">
      <w:r>
        <w:rPr>
          <w:noProof/>
        </w:rPr>
        <w:drawing>
          <wp:anchor distT="0" distB="0" distL="114300" distR="114300" simplePos="0" relativeHeight="251709440" behindDoc="0" locked="0" layoutInCell="1" allowOverlap="1" wp14:anchorId="55DC0462" wp14:editId="54516FA0">
            <wp:simplePos x="0" y="0"/>
            <wp:positionH relativeFrom="column">
              <wp:posOffset>42960</wp:posOffset>
            </wp:positionH>
            <wp:positionV relativeFrom="paragraph">
              <wp:posOffset>119303</wp:posOffset>
            </wp:positionV>
            <wp:extent cx="3609975" cy="2657475"/>
            <wp:effectExtent l="0" t="0" r="9525" b="9525"/>
            <wp:wrapSquare wrapText="bothSides"/>
            <wp:docPr id="1555859410" name="Chart 1">
              <a:extLst xmlns:a="http://schemas.openxmlformats.org/drawingml/2006/main">
                <a:ext uri="{FF2B5EF4-FFF2-40B4-BE49-F238E27FC236}">
                  <a16:creationId xmlns:a16="http://schemas.microsoft.com/office/drawing/2014/main" id="{0CA8DAFA-205D-4379-A584-203FF77599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14:sizeRelH relativeFrom="margin">
              <wp14:pctWidth>0</wp14:pctWidth>
            </wp14:sizeRelH>
            <wp14:sizeRelV relativeFrom="margin">
              <wp14:pctHeight>0</wp14:pctHeight>
            </wp14:sizeRelV>
          </wp:anchor>
        </w:drawing>
      </w:r>
    </w:p>
    <w:p w14:paraId="3B30CBA3" w14:textId="77777777" w:rsidR="00723D79" w:rsidRDefault="00723D79" w:rsidP="00B86C43"/>
    <w:p w14:paraId="75BF2855" w14:textId="77777777" w:rsidR="00723D79" w:rsidRDefault="00723D79" w:rsidP="00B86C43"/>
    <w:p w14:paraId="2D5313A0" w14:textId="77777777" w:rsidR="00723D79" w:rsidRDefault="00723D79" w:rsidP="00B86C43"/>
    <w:p w14:paraId="61DC25B4" w14:textId="417B2BFB" w:rsidR="00527759" w:rsidRPr="00F20D6C" w:rsidRDefault="00527759" w:rsidP="00B86C43">
      <w:r w:rsidRPr="00F20D6C">
        <w:t xml:space="preserve">Taft course completion rates for Short-Term CTE </w:t>
      </w:r>
      <w:proofErr w:type="gramStart"/>
      <w:r w:rsidRPr="00F20D6C">
        <w:t xml:space="preserve">(likely </w:t>
      </w:r>
      <w:proofErr w:type="gramEnd"/>
      <w:r w:rsidRPr="00F20D6C">
        <w:t xml:space="preserve">mostly </w:t>
      </w:r>
      <w:r w:rsidR="00CE7648">
        <w:t>WESTEC</w:t>
      </w:r>
      <w:r w:rsidRPr="00F20D6C">
        <w:t xml:space="preserve"> students) are higher than the regional and state averages.</w:t>
      </w:r>
    </w:p>
    <w:p w14:paraId="559F51A4" w14:textId="77777777" w:rsidR="00527759" w:rsidRPr="00F20D6C" w:rsidRDefault="00527759" w:rsidP="00B86C43"/>
    <w:p w14:paraId="5C0BE5F4" w14:textId="77777777" w:rsidR="00527759" w:rsidRPr="00F20D6C" w:rsidRDefault="00527759" w:rsidP="00B86C43">
      <w:pPr>
        <w:rPr>
          <w:rFonts w:ascii="Calibri" w:hAnsi="Calibri"/>
        </w:rPr>
      </w:pPr>
    </w:p>
    <w:p w14:paraId="4F81B8A0" w14:textId="77777777" w:rsidR="00527759" w:rsidRPr="00F20D6C" w:rsidRDefault="00527759" w:rsidP="00B86C43">
      <w:pPr>
        <w:rPr>
          <w:rFonts w:ascii="Calibri" w:hAnsi="Calibri"/>
        </w:rPr>
      </w:pPr>
    </w:p>
    <w:p w14:paraId="3E94BD0C" w14:textId="77777777" w:rsidR="00527759" w:rsidRPr="00F20D6C" w:rsidRDefault="00527759" w:rsidP="00B86C43">
      <w:pPr>
        <w:rPr>
          <w:rFonts w:ascii="Calibri" w:hAnsi="Calibri"/>
        </w:rPr>
      </w:pPr>
    </w:p>
    <w:p w14:paraId="6B2556EA" w14:textId="77777777" w:rsidR="00527759" w:rsidRDefault="00527759" w:rsidP="00B86C43">
      <w:pPr>
        <w:rPr>
          <w:rFonts w:ascii="Calibri" w:hAnsi="Calibri"/>
        </w:rPr>
      </w:pPr>
    </w:p>
    <w:p w14:paraId="75F9FDBA" w14:textId="07000916" w:rsidR="00527759" w:rsidRPr="00723D79" w:rsidRDefault="00CC5AF3" w:rsidP="00B86C43">
      <w:pPr>
        <w:rPr>
          <w:rFonts w:ascii="Calibri" w:hAnsi="Calibri"/>
          <w:i/>
          <w:iCs/>
          <w:sz w:val="20"/>
          <w:szCs w:val="20"/>
        </w:rPr>
      </w:pPr>
      <w:r w:rsidRPr="00CC5AF3">
        <w:rPr>
          <w:rFonts w:ascii="Calibri" w:hAnsi="Calibri"/>
          <w:i/>
          <w:iCs/>
          <w:sz w:val="20"/>
          <w:szCs w:val="20"/>
        </w:rPr>
        <w:t xml:space="preserve">Source: </w:t>
      </w:r>
      <w:hyperlink r:id="rId126" w:history="1">
        <w:r w:rsidR="00527759" w:rsidRPr="00CC5AF3">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hyperlink>
    </w:p>
    <w:p w14:paraId="111AAE6D" w14:textId="779DA03E" w:rsidR="001509DE" w:rsidRDefault="00527759" w:rsidP="00F16EFC">
      <w:pPr>
        <w:rPr>
          <w:rFonts w:eastAsia="DengXian Light"/>
        </w:rPr>
      </w:pPr>
      <w:bookmarkStart w:id="282" w:name="_Toc194324293"/>
      <w:r w:rsidRPr="00F20D6C">
        <w:rPr>
          <w:rFonts w:eastAsia="DengXian Light"/>
        </w:rPr>
        <w:t>Median Change in Earnings</w:t>
      </w:r>
      <w:r>
        <w:rPr>
          <w:rFonts w:eastAsia="DengXian Light"/>
        </w:rPr>
        <w:t xml:space="preserve">, </w:t>
      </w:r>
      <w:r w:rsidRPr="00F20D6C">
        <w:rPr>
          <w:rFonts w:eastAsia="DengXian Light"/>
        </w:rPr>
        <w:t>Short-Term Career Students</w:t>
      </w:r>
      <w:bookmarkEnd w:id="280"/>
      <w:bookmarkEnd w:id="282"/>
    </w:p>
    <w:p w14:paraId="33047D2B" w14:textId="3FF30165" w:rsidR="00CC5AF3" w:rsidRPr="00723D79" w:rsidRDefault="00723D79" w:rsidP="00527759">
      <w:pPr>
        <w:rPr>
          <w:rFonts w:eastAsia="DengXian Light"/>
        </w:rPr>
      </w:pPr>
      <w:r>
        <w:rPr>
          <w:noProof/>
        </w:rPr>
        <w:drawing>
          <wp:inline distT="0" distB="0" distL="0" distR="0" wp14:anchorId="095C2902" wp14:editId="2F9DEB33">
            <wp:extent cx="6399530" cy="3714750"/>
            <wp:effectExtent l="0" t="0" r="1270" b="0"/>
            <wp:docPr id="852111692" name="Picture 10" descr="A graph with numbers and lines&#10;&#10;Description automatically generated">
              <a:extLst xmlns:a="http://schemas.openxmlformats.org/drawingml/2006/main">
                <a:ext uri="{FF2B5EF4-FFF2-40B4-BE49-F238E27FC236}">
                  <a16:creationId xmlns:a16="http://schemas.microsoft.com/office/drawing/2014/main" id="{975FDE3D-E49F-9AAF-4603-01134AFBB7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11692" name="Picture 10" descr="A graph with numbers and lines&#10;&#10;Description automatically generated">
                      <a:extLst>
                        <a:ext uri="{FF2B5EF4-FFF2-40B4-BE49-F238E27FC236}">
                          <a16:creationId xmlns:a16="http://schemas.microsoft.com/office/drawing/2014/main" id="{975FDE3D-E49F-9AAF-4603-01134AFBB708}"/>
                        </a:ext>
                      </a:extLst>
                    </pic:cNvPr>
                    <pic:cNvPicPr>
                      <a:picLocks noChangeAspect="1"/>
                    </pic:cNvPicPr>
                  </pic:nvPicPr>
                  <pic:blipFill>
                    <a:blip r:embed="rId127"/>
                    <a:stretch>
                      <a:fillRect/>
                    </a:stretch>
                  </pic:blipFill>
                  <pic:spPr>
                    <a:xfrm>
                      <a:off x="0" y="0"/>
                      <a:ext cx="6401811" cy="3716074"/>
                    </a:xfrm>
                    <a:prstGeom prst="rect">
                      <a:avLst/>
                    </a:prstGeom>
                  </pic:spPr>
                </pic:pic>
              </a:graphicData>
            </a:graphic>
          </wp:inline>
        </w:drawing>
      </w:r>
    </w:p>
    <w:p w14:paraId="7D848D3A" w14:textId="108CD731" w:rsidR="00527759" w:rsidRPr="00F20D6C" w:rsidRDefault="00527759" w:rsidP="00527759">
      <w:pPr>
        <w:rPr>
          <w:rFonts w:ascii="Calibri" w:hAnsi="Calibri"/>
        </w:rPr>
      </w:pPr>
      <w:r w:rsidRPr="00F20D6C">
        <w:rPr>
          <w:rFonts w:ascii="Calibri" w:hAnsi="Calibri"/>
          <w:i/>
          <w:iCs/>
          <w:sz w:val="20"/>
          <w:szCs w:val="20"/>
        </w:rPr>
        <w:t xml:space="preserve">Source: </w:t>
      </w:r>
      <w:hyperlink r:id="rId128" w:history="1">
        <w:r w:rsidRPr="00F20D6C">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hyperlink>
    </w:p>
    <w:p w14:paraId="612AF6C9" w14:textId="4E42BA14" w:rsidR="00527759" w:rsidRPr="00F20D6C" w:rsidRDefault="00527759" w:rsidP="00527759">
      <w:pPr>
        <w:rPr>
          <w:rFonts w:ascii="Calibri" w:hAnsi="Calibri"/>
        </w:rPr>
      </w:pPr>
      <w:r w:rsidRPr="00F20D6C">
        <w:rPr>
          <w:rFonts w:ascii="Calibri" w:hAnsi="Calibri"/>
        </w:rPr>
        <w:t>Participating in Short-Term Career Education training has had positive economic outcomes for Taft College students who show increasing gains in earnings over the past six years.</w:t>
      </w:r>
    </w:p>
    <w:p w14:paraId="484A5BA7" w14:textId="77777777" w:rsidR="00527759" w:rsidRPr="00F20D6C" w:rsidRDefault="00527759" w:rsidP="00527759">
      <w:pPr>
        <w:rPr>
          <w:rFonts w:ascii="Calibri" w:hAnsi="Calibri"/>
        </w:rPr>
      </w:pPr>
    </w:p>
    <w:p w14:paraId="67AAFF51" w14:textId="69EF838D" w:rsidR="00527759" w:rsidRPr="00F20D6C" w:rsidRDefault="00723D79" w:rsidP="008F2145">
      <w:pPr>
        <w:rPr>
          <w:rFonts w:eastAsia="DengXian Light"/>
        </w:rPr>
      </w:pPr>
      <w:bookmarkStart w:id="283" w:name="_Toc168762768"/>
      <w:bookmarkStart w:id="284" w:name="_Toc194324294"/>
      <w:r>
        <w:rPr>
          <w:noProof/>
        </w:rPr>
        <w:lastRenderedPageBreak/>
        <w:drawing>
          <wp:anchor distT="0" distB="0" distL="114300" distR="114300" simplePos="0" relativeHeight="251711488" behindDoc="0" locked="0" layoutInCell="1" allowOverlap="1" wp14:anchorId="24969AAE" wp14:editId="40B8D29D">
            <wp:simplePos x="0" y="0"/>
            <wp:positionH relativeFrom="column">
              <wp:posOffset>855</wp:posOffset>
            </wp:positionH>
            <wp:positionV relativeFrom="paragraph">
              <wp:posOffset>466137</wp:posOffset>
            </wp:positionV>
            <wp:extent cx="3714750" cy="2619375"/>
            <wp:effectExtent l="0" t="0" r="0" b="9525"/>
            <wp:wrapSquare wrapText="bothSides"/>
            <wp:docPr id="1121481429" name="Chart 1">
              <a:extLst xmlns:a="http://schemas.openxmlformats.org/drawingml/2006/main">
                <a:ext uri="{FF2B5EF4-FFF2-40B4-BE49-F238E27FC236}">
                  <a16:creationId xmlns:a16="http://schemas.microsoft.com/office/drawing/2014/main" id="{0D95EC00-9F78-405A-988D-32EAF3CCC8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14:sizeRelH relativeFrom="margin">
              <wp14:pctWidth>0</wp14:pctWidth>
            </wp14:sizeRelH>
            <wp14:sizeRelV relativeFrom="margin">
              <wp14:pctHeight>0</wp14:pctHeight>
            </wp14:sizeRelV>
          </wp:anchor>
        </w:drawing>
      </w:r>
      <w:r w:rsidR="00527759" w:rsidRPr="00F20D6C">
        <w:rPr>
          <w:rFonts w:eastAsia="DengXian Light"/>
          <w:noProof/>
        </w:rPr>
        <w:drawing>
          <wp:anchor distT="0" distB="0" distL="114300" distR="114300" simplePos="0" relativeHeight="251688960" behindDoc="0" locked="0" layoutInCell="1" allowOverlap="1" wp14:anchorId="0E4E00CB" wp14:editId="61811A5A">
            <wp:simplePos x="0" y="0"/>
            <wp:positionH relativeFrom="margin">
              <wp:align>left</wp:align>
            </wp:positionH>
            <wp:positionV relativeFrom="paragraph">
              <wp:posOffset>463550</wp:posOffset>
            </wp:positionV>
            <wp:extent cx="3657600" cy="2698750"/>
            <wp:effectExtent l="0" t="0" r="0" b="6350"/>
            <wp:wrapThrough wrapText="bothSides">
              <wp:wrapPolygon edited="0">
                <wp:start x="0" y="0"/>
                <wp:lineTo x="0" y="21498"/>
                <wp:lineTo x="21488" y="21498"/>
                <wp:lineTo x="21488" y="0"/>
                <wp:lineTo x="0" y="0"/>
              </wp:wrapPolygon>
            </wp:wrapThrough>
            <wp:docPr id="1927133938"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14:sizeRelV relativeFrom="margin">
              <wp14:pctHeight>0</wp14:pctHeight>
            </wp14:sizeRelV>
          </wp:anchor>
        </w:drawing>
      </w:r>
      <w:bookmarkStart w:id="285" w:name="_Hlk178701523"/>
      <w:r w:rsidR="00527759" w:rsidRPr="00F20D6C">
        <w:rPr>
          <w:rFonts w:eastAsia="DengXian Light"/>
        </w:rPr>
        <w:t>Median Change in Earnings</w:t>
      </w:r>
      <w:r w:rsidR="00527759">
        <w:rPr>
          <w:rFonts w:eastAsia="DengXian Light"/>
        </w:rPr>
        <w:t xml:space="preserve">, </w:t>
      </w:r>
      <w:r w:rsidR="00527759" w:rsidRPr="00F20D6C">
        <w:rPr>
          <w:rFonts w:eastAsia="DengXian Light"/>
        </w:rPr>
        <w:t>Short-Term Career Students Compared</w:t>
      </w:r>
      <w:bookmarkEnd w:id="283"/>
      <w:bookmarkEnd w:id="284"/>
      <w:bookmarkEnd w:id="285"/>
    </w:p>
    <w:p w14:paraId="2611A49D" w14:textId="77777777" w:rsidR="00527759" w:rsidRPr="00F20D6C" w:rsidRDefault="00527759" w:rsidP="001509DE"/>
    <w:p w14:paraId="0DE4DAE1" w14:textId="1BA3AA05" w:rsidR="00527759" w:rsidRPr="00F20D6C" w:rsidRDefault="00527759" w:rsidP="00527759">
      <w:pPr>
        <w:rPr>
          <w:rFonts w:ascii="Calibri" w:hAnsi="Calibri"/>
        </w:rPr>
      </w:pPr>
      <w:r w:rsidRPr="00F20D6C">
        <w:rPr>
          <w:rFonts w:ascii="Calibri" w:hAnsi="Calibri"/>
        </w:rPr>
        <w:t xml:space="preserve">Compared to the Southern Central Valley/South Mother Lode region and the state, Taft College Short-Term Career students (likely </w:t>
      </w:r>
      <w:proofErr w:type="gramStart"/>
      <w:r w:rsidRPr="00F20D6C">
        <w:rPr>
          <w:rFonts w:ascii="Calibri" w:hAnsi="Calibri"/>
        </w:rPr>
        <w:t>enrolled</w:t>
      </w:r>
      <w:proofErr w:type="gramEnd"/>
      <w:r w:rsidRPr="00F20D6C">
        <w:rPr>
          <w:rFonts w:ascii="Calibri" w:hAnsi="Calibri"/>
        </w:rPr>
        <w:t xml:space="preserve"> at </w:t>
      </w:r>
      <w:r w:rsidR="00CE7648">
        <w:rPr>
          <w:rFonts w:ascii="Calibri" w:hAnsi="Calibri"/>
        </w:rPr>
        <w:t>WESTEC</w:t>
      </w:r>
      <w:r w:rsidRPr="00F20D6C">
        <w:rPr>
          <w:rFonts w:ascii="Calibri" w:hAnsi="Calibri"/>
        </w:rPr>
        <w:t xml:space="preserve">) posted </w:t>
      </w:r>
      <w:r w:rsidR="00723D79">
        <w:rPr>
          <w:rFonts w:ascii="Calibri" w:hAnsi="Calibri"/>
        </w:rPr>
        <w:t>lower</w:t>
      </w:r>
      <w:r w:rsidRPr="00F20D6C">
        <w:rPr>
          <w:rFonts w:ascii="Calibri" w:hAnsi="Calibri"/>
        </w:rPr>
        <w:t xml:space="preserve"> levels of increased earnings after their</w:t>
      </w:r>
      <w:r w:rsidR="00723D79">
        <w:rPr>
          <w:rFonts w:ascii="Calibri" w:hAnsi="Calibri"/>
        </w:rPr>
        <w:t xml:space="preserve"> </w:t>
      </w:r>
      <w:r w:rsidRPr="00F20D6C">
        <w:rPr>
          <w:rFonts w:ascii="Calibri" w:hAnsi="Calibri"/>
        </w:rPr>
        <w:t>training.</w:t>
      </w:r>
    </w:p>
    <w:p w14:paraId="6110A8B0" w14:textId="77777777" w:rsidR="00527759" w:rsidRPr="00F20D6C" w:rsidRDefault="00527759" w:rsidP="00527759">
      <w:pPr>
        <w:rPr>
          <w:rFonts w:ascii="Calibri" w:hAnsi="Calibri"/>
        </w:rPr>
      </w:pPr>
    </w:p>
    <w:p w14:paraId="26C26C88" w14:textId="77777777" w:rsidR="00527759" w:rsidRDefault="00527759" w:rsidP="00527759"/>
    <w:p w14:paraId="0BCA77D9" w14:textId="77777777" w:rsidR="00527759" w:rsidRDefault="00527759" w:rsidP="00527759"/>
    <w:p w14:paraId="71647C85" w14:textId="77777777" w:rsidR="00527759" w:rsidRDefault="00527759" w:rsidP="00527759"/>
    <w:p w14:paraId="3709FF77" w14:textId="77777777" w:rsidR="00527759" w:rsidRDefault="00527759" w:rsidP="00527759"/>
    <w:p w14:paraId="481A6152" w14:textId="77777777" w:rsidR="00CC5AF3" w:rsidRDefault="00CC5AF3" w:rsidP="00F16EFC"/>
    <w:p w14:paraId="09B1B29E" w14:textId="77777777" w:rsidR="003A0A6E" w:rsidRDefault="003A0A6E" w:rsidP="003A0A6E">
      <w:pPr>
        <w:rPr>
          <w:rFonts w:ascii="Calibri" w:hAnsi="Calibri"/>
          <w:i/>
          <w:iCs/>
          <w:sz w:val="20"/>
          <w:szCs w:val="20"/>
        </w:rPr>
      </w:pPr>
    </w:p>
    <w:p w14:paraId="13573CD8" w14:textId="04BB8122" w:rsidR="003A0A6E" w:rsidRPr="00F20D6C" w:rsidRDefault="003A0A6E" w:rsidP="003A0A6E">
      <w:pPr>
        <w:rPr>
          <w:rFonts w:ascii="Calibri" w:hAnsi="Calibri"/>
          <w:i/>
          <w:iCs/>
          <w:sz w:val="20"/>
          <w:szCs w:val="20"/>
        </w:rPr>
      </w:pPr>
      <w:r w:rsidRPr="00F20D6C">
        <w:rPr>
          <w:rFonts w:ascii="Calibri" w:hAnsi="Calibri"/>
          <w:i/>
          <w:iCs/>
          <w:sz w:val="20"/>
          <w:szCs w:val="20"/>
        </w:rPr>
        <w:t xml:space="preserve">Source: </w:t>
      </w:r>
      <w:hyperlink r:id="rId131" w:history="1">
        <w:r w:rsidRPr="00F20D6C">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hyperlink>
      <w:r>
        <w:rPr>
          <w:rFonts w:ascii="Calibri" w:hAnsi="Calibri"/>
          <w:i/>
          <w:iCs/>
          <w:color w:val="0563C1"/>
          <w:sz w:val="20"/>
          <w:szCs w:val="20"/>
          <w:u w:val="single"/>
        </w:rPr>
        <w:br/>
      </w:r>
    </w:p>
    <w:p w14:paraId="159A4988" w14:textId="1B3684CD" w:rsidR="00527759" w:rsidRDefault="00527759" w:rsidP="008F2145">
      <w:pPr>
        <w:rPr>
          <w:rFonts w:eastAsia="DengXian Light"/>
        </w:rPr>
      </w:pPr>
      <w:bookmarkStart w:id="286" w:name="_Toc194324295"/>
      <w:r>
        <w:t xml:space="preserve">Attained the Living </w:t>
      </w:r>
      <w:r w:rsidRPr="00CC5AF3">
        <w:t>Wage</w:t>
      </w:r>
      <w:r>
        <w:rPr>
          <w:rFonts w:eastAsia="DengXian Light"/>
        </w:rPr>
        <w:t xml:space="preserve">, </w:t>
      </w:r>
      <w:r w:rsidRPr="00F20D6C">
        <w:rPr>
          <w:rFonts w:eastAsia="DengXian Light"/>
        </w:rPr>
        <w:t>Short-Term Career Students</w:t>
      </w:r>
      <w:bookmarkEnd w:id="286"/>
    </w:p>
    <w:p w14:paraId="0C06D696" w14:textId="77777777" w:rsidR="001509DE" w:rsidRDefault="001509DE" w:rsidP="001509DE"/>
    <w:p w14:paraId="2161111E" w14:textId="688EF37B" w:rsidR="00723D79" w:rsidRPr="001509DE" w:rsidRDefault="00BD1C69" w:rsidP="001509DE">
      <w:r>
        <w:rPr>
          <w:noProof/>
        </w:rPr>
        <w:drawing>
          <wp:anchor distT="0" distB="0" distL="114300" distR="114300" simplePos="0" relativeHeight="251713536" behindDoc="0" locked="0" layoutInCell="1" allowOverlap="1" wp14:anchorId="4F1F9897" wp14:editId="0A2DA9B5">
            <wp:simplePos x="0" y="0"/>
            <wp:positionH relativeFrom="column">
              <wp:posOffset>0</wp:posOffset>
            </wp:positionH>
            <wp:positionV relativeFrom="paragraph">
              <wp:posOffset>247650</wp:posOffset>
            </wp:positionV>
            <wp:extent cx="3800475" cy="2743200"/>
            <wp:effectExtent l="0" t="0" r="9525" b="0"/>
            <wp:wrapSquare wrapText="bothSides"/>
            <wp:docPr id="1332668400" name="Chart 1">
              <a:extLst xmlns:a="http://schemas.openxmlformats.org/drawingml/2006/main">
                <a:ext uri="{FF2B5EF4-FFF2-40B4-BE49-F238E27FC236}">
                  <a16:creationId xmlns:a16="http://schemas.microsoft.com/office/drawing/2014/main" id="{9702AA68-7B60-4B05-9744-8C9773643C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anchor>
        </w:drawing>
      </w:r>
    </w:p>
    <w:p w14:paraId="53725B9F" w14:textId="77777777" w:rsidR="00BD1C69" w:rsidRDefault="00BD1C69" w:rsidP="00CB2591">
      <w:pPr>
        <w:rPr>
          <w:i/>
          <w:iCs/>
          <w:sz w:val="20"/>
          <w:szCs w:val="20"/>
        </w:rPr>
      </w:pPr>
    </w:p>
    <w:p w14:paraId="42D1F273" w14:textId="77777777" w:rsidR="00BD1C69" w:rsidRDefault="00BD1C69" w:rsidP="00CB2591">
      <w:pPr>
        <w:rPr>
          <w:i/>
          <w:iCs/>
          <w:sz w:val="20"/>
          <w:szCs w:val="20"/>
        </w:rPr>
      </w:pPr>
    </w:p>
    <w:p w14:paraId="7143BB79" w14:textId="77777777" w:rsidR="00BD1C69" w:rsidRDefault="00BD1C69" w:rsidP="00CB2591">
      <w:pPr>
        <w:rPr>
          <w:i/>
          <w:iCs/>
          <w:sz w:val="20"/>
          <w:szCs w:val="20"/>
        </w:rPr>
      </w:pPr>
    </w:p>
    <w:p w14:paraId="05D9A408" w14:textId="77777777" w:rsidR="00BD1C69" w:rsidRDefault="00BD1C69" w:rsidP="00CB2591">
      <w:pPr>
        <w:rPr>
          <w:i/>
          <w:iCs/>
          <w:sz w:val="20"/>
          <w:szCs w:val="20"/>
        </w:rPr>
      </w:pPr>
    </w:p>
    <w:p w14:paraId="20F9F682" w14:textId="77777777" w:rsidR="00BD1C69" w:rsidRDefault="00BD1C69" w:rsidP="00CB2591">
      <w:pPr>
        <w:rPr>
          <w:i/>
          <w:iCs/>
          <w:sz w:val="20"/>
          <w:szCs w:val="20"/>
        </w:rPr>
      </w:pPr>
    </w:p>
    <w:p w14:paraId="396C5A72" w14:textId="77777777" w:rsidR="00BD1C69" w:rsidRDefault="00BD1C69" w:rsidP="00CB2591">
      <w:pPr>
        <w:rPr>
          <w:i/>
          <w:iCs/>
          <w:sz w:val="20"/>
          <w:szCs w:val="20"/>
        </w:rPr>
      </w:pPr>
    </w:p>
    <w:p w14:paraId="208AB113" w14:textId="77777777" w:rsidR="00BD1C69" w:rsidRDefault="00BD1C69" w:rsidP="00CB2591">
      <w:pPr>
        <w:rPr>
          <w:i/>
          <w:iCs/>
          <w:sz w:val="20"/>
          <w:szCs w:val="20"/>
        </w:rPr>
      </w:pPr>
    </w:p>
    <w:p w14:paraId="3EE4925E" w14:textId="77777777" w:rsidR="00BD1C69" w:rsidRDefault="00BD1C69" w:rsidP="00CB2591">
      <w:pPr>
        <w:rPr>
          <w:i/>
          <w:iCs/>
          <w:sz w:val="20"/>
          <w:szCs w:val="20"/>
        </w:rPr>
      </w:pPr>
    </w:p>
    <w:p w14:paraId="02E14EA5" w14:textId="77777777" w:rsidR="00BD1C69" w:rsidRDefault="00BD1C69" w:rsidP="00CB2591">
      <w:pPr>
        <w:rPr>
          <w:i/>
          <w:iCs/>
          <w:sz w:val="20"/>
          <w:szCs w:val="20"/>
        </w:rPr>
      </w:pPr>
    </w:p>
    <w:p w14:paraId="538A7896" w14:textId="77777777" w:rsidR="00BD1C69" w:rsidRDefault="00BD1C69" w:rsidP="00CB2591">
      <w:pPr>
        <w:rPr>
          <w:i/>
          <w:iCs/>
          <w:sz w:val="20"/>
          <w:szCs w:val="20"/>
        </w:rPr>
      </w:pPr>
    </w:p>
    <w:p w14:paraId="0EE29420" w14:textId="77777777" w:rsidR="00BD1C69" w:rsidRDefault="00BD1C69" w:rsidP="00CB2591">
      <w:pPr>
        <w:rPr>
          <w:i/>
          <w:iCs/>
          <w:sz w:val="20"/>
          <w:szCs w:val="20"/>
        </w:rPr>
      </w:pPr>
    </w:p>
    <w:p w14:paraId="6C142942" w14:textId="77777777" w:rsidR="00BD1C69" w:rsidRDefault="00BD1C69" w:rsidP="00CB2591">
      <w:pPr>
        <w:rPr>
          <w:i/>
          <w:iCs/>
          <w:sz w:val="20"/>
          <w:szCs w:val="20"/>
        </w:rPr>
      </w:pPr>
    </w:p>
    <w:p w14:paraId="5B039CF4" w14:textId="11E11421" w:rsidR="00527759" w:rsidRPr="00BD1C69" w:rsidRDefault="00527759" w:rsidP="00CC5AF3">
      <w:pPr>
        <w:rPr>
          <w:rFonts w:ascii="Calibri" w:hAnsi="Calibri"/>
          <w:i/>
          <w:iCs/>
          <w:sz w:val="20"/>
          <w:szCs w:val="20"/>
        </w:rPr>
      </w:pPr>
      <w:r w:rsidRPr="00F20D6C">
        <w:rPr>
          <w:i/>
          <w:iCs/>
          <w:sz w:val="20"/>
          <w:szCs w:val="20"/>
        </w:rPr>
        <w:t xml:space="preserve">Source: </w:t>
      </w:r>
      <w:r w:rsidR="00CB2591" w:rsidRPr="00CC5AF3">
        <w:rPr>
          <w:rFonts w:ascii="Calibri" w:hAnsi="Calibri"/>
          <w:i/>
          <w:iCs/>
          <w:sz w:val="20"/>
          <w:szCs w:val="20"/>
        </w:rPr>
        <w:t xml:space="preserve">Source: </w:t>
      </w:r>
      <w:hyperlink r:id="rId133" w:history="1">
        <w:r w:rsidR="00CB2591" w:rsidRPr="00CC5AF3">
          <w:rPr>
            <w:rFonts w:ascii="Calibri" w:hAnsi="Calibri"/>
            <w:i/>
            <w:iCs/>
            <w:color w:val="0563C1"/>
            <w:sz w:val="20"/>
            <w:szCs w:val="20"/>
            <w:u w:val="single"/>
          </w:rPr>
          <w:t xml:space="preserve">CCCCO </w:t>
        </w:r>
        <w:proofErr w:type="spellStart"/>
        <w:r w:rsidR="006073A2">
          <w:rPr>
            <w:rFonts w:ascii="Calibri" w:hAnsi="Calibri"/>
            <w:i/>
            <w:iCs/>
            <w:color w:val="0563C1"/>
            <w:sz w:val="20"/>
            <w:szCs w:val="20"/>
            <w:u w:val="single"/>
          </w:rPr>
          <w:t>DataVista.</w:t>
        </w:r>
      </w:hyperlink>
      <w:r w:rsidR="00BD1C69">
        <w:rPr>
          <w:rFonts w:ascii="Calibri" w:hAnsi="Calibri"/>
          <w:i/>
          <w:iCs/>
          <w:color w:val="0563C1"/>
          <w:sz w:val="20"/>
          <w:szCs w:val="20"/>
          <w:u w:val="single"/>
        </w:rPr>
        <w:t>slightly</w:t>
      </w:r>
      <w:proofErr w:type="spellEnd"/>
      <w:r w:rsidR="00BD1C69">
        <w:rPr>
          <w:rFonts w:ascii="Calibri" w:hAnsi="Calibri"/>
          <w:i/>
          <w:iCs/>
          <w:color w:val="0563C1"/>
          <w:sz w:val="20"/>
          <w:szCs w:val="20"/>
          <w:u w:val="single"/>
        </w:rPr>
        <w:t xml:space="preserve"> lower levels</w:t>
      </w:r>
    </w:p>
    <w:p w14:paraId="34A91F79" w14:textId="5A1775EE" w:rsidR="00527759" w:rsidRPr="00F20D6C" w:rsidRDefault="00527759" w:rsidP="00527759">
      <w:pPr>
        <w:rPr>
          <w:rFonts w:ascii="Calibri" w:hAnsi="Calibri"/>
        </w:rPr>
      </w:pPr>
      <w:r w:rsidRPr="00F20D6C">
        <w:rPr>
          <w:rFonts w:ascii="Calibri" w:hAnsi="Calibri"/>
        </w:rPr>
        <w:t xml:space="preserve">Participating in Short-Term Career Training has had positive economic outcomes for Taft College students, who show increasing levels of attaining the </w:t>
      </w:r>
      <w:r w:rsidR="00D17A81">
        <w:rPr>
          <w:rFonts w:ascii="Calibri" w:hAnsi="Calibri"/>
        </w:rPr>
        <w:t>l</w:t>
      </w:r>
      <w:r w:rsidRPr="00F20D6C">
        <w:rPr>
          <w:rFonts w:ascii="Calibri" w:hAnsi="Calibri"/>
        </w:rPr>
        <w:t xml:space="preserve">iving </w:t>
      </w:r>
      <w:r w:rsidR="00D17A81">
        <w:rPr>
          <w:rFonts w:ascii="Calibri" w:hAnsi="Calibri"/>
        </w:rPr>
        <w:t>w</w:t>
      </w:r>
      <w:r w:rsidRPr="00F20D6C">
        <w:rPr>
          <w:rFonts w:ascii="Calibri" w:hAnsi="Calibri"/>
        </w:rPr>
        <w:t>age over the past six years.</w:t>
      </w:r>
    </w:p>
    <w:p w14:paraId="57292ED6" w14:textId="77777777" w:rsidR="00527759" w:rsidRPr="00F20D6C" w:rsidRDefault="00527759" w:rsidP="00527759">
      <w:pPr>
        <w:rPr>
          <w:rFonts w:ascii="Calibri" w:hAnsi="Calibri"/>
        </w:rPr>
      </w:pPr>
    </w:p>
    <w:p w14:paraId="457C1908" w14:textId="77777777" w:rsidR="001509DE" w:rsidRDefault="001509DE">
      <w:pPr>
        <w:spacing w:after="0"/>
        <w:rPr>
          <w:rFonts w:asciiTheme="majorHAnsi" w:eastAsia="DengXian Light" w:hAnsiTheme="majorHAnsi" w:cstheme="majorBidi"/>
          <w:b/>
          <w:bCs/>
          <w:color w:val="4472C4" w:themeColor="accent1"/>
          <w:sz w:val="24"/>
        </w:rPr>
      </w:pPr>
      <w:bookmarkStart w:id="287" w:name="_Toc168762770"/>
      <w:r>
        <w:rPr>
          <w:rFonts w:eastAsia="DengXian Light"/>
        </w:rPr>
        <w:br w:type="page"/>
      </w:r>
    </w:p>
    <w:p w14:paraId="61F6A553" w14:textId="7C64E397" w:rsidR="00527759" w:rsidRDefault="00527759" w:rsidP="008F2145">
      <w:pPr>
        <w:rPr>
          <w:rFonts w:eastAsia="DengXian Light"/>
        </w:rPr>
      </w:pPr>
      <w:bookmarkStart w:id="288" w:name="_Toc194324296"/>
      <w:r w:rsidRPr="00F20D6C">
        <w:rPr>
          <w:rFonts w:eastAsia="DengXian Light"/>
        </w:rPr>
        <w:lastRenderedPageBreak/>
        <w:t>Attained the Living Wage, Short-Term Career Students Compared</w:t>
      </w:r>
      <w:bookmarkEnd w:id="287"/>
      <w:bookmarkEnd w:id="288"/>
    </w:p>
    <w:p w14:paraId="4E315C55" w14:textId="36681C64" w:rsidR="00527759" w:rsidRDefault="00BD1C69" w:rsidP="00527759">
      <w:pPr>
        <w:rPr>
          <w:rFonts w:ascii="Calibri" w:hAnsi="Calibri"/>
        </w:rPr>
      </w:pPr>
      <w:r>
        <w:rPr>
          <w:noProof/>
        </w:rPr>
        <w:drawing>
          <wp:anchor distT="0" distB="0" distL="114300" distR="114300" simplePos="0" relativeHeight="251715584" behindDoc="0" locked="0" layoutInCell="1" allowOverlap="1" wp14:anchorId="1E042D15" wp14:editId="5F3CD458">
            <wp:simplePos x="0" y="0"/>
            <wp:positionH relativeFrom="column">
              <wp:posOffset>59708</wp:posOffset>
            </wp:positionH>
            <wp:positionV relativeFrom="paragraph">
              <wp:posOffset>161794</wp:posOffset>
            </wp:positionV>
            <wp:extent cx="3800475" cy="2743200"/>
            <wp:effectExtent l="0" t="0" r="9525" b="0"/>
            <wp:wrapSquare wrapText="bothSides"/>
            <wp:docPr id="2098484354" name="Chart 1">
              <a:extLst xmlns:a="http://schemas.openxmlformats.org/drawingml/2006/main">
                <a:ext uri="{FF2B5EF4-FFF2-40B4-BE49-F238E27FC236}">
                  <a16:creationId xmlns:a16="http://schemas.microsoft.com/office/drawing/2014/main" id="{9702AA68-7B60-4B05-9744-8C9773643C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anchor>
        </w:drawing>
      </w:r>
    </w:p>
    <w:p w14:paraId="56B01A65" w14:textId="0E3F8899" w:rsidR="00527759" w:rsidRPr="00F20D6C" w:rsidRDefault="00527759" w:rsidP="00527759">
      <w:pPr>
        <w:rPr>
          <w:rFonts w:ascii="Calibri" w:hAnsi="Calibri"/>
        </w:rPr>
      </w:pPr>
    </w:p>
    <w:p w14:paraId="3CF175A6" w14:textId="12D0FEE6" w:rsidR="00527759" w:rsidRPr="00F20D6C" w:rsidRDefault="00527759" w:rsidP="00527759">
      <w:pPr>
        <w:rPr>
          <w:rFonts w:ascii="Calibri" w:hAnsi="Calibri"/>
        </w:rPr>
      </w:pPr>
      <w:r w:rsidRPr="00F20D6C">
        <w:rPr>
          <w:rFonts w:ascii="Calibri" w:hAnsi="Calibri"/>
        </w:rPr>
        <w:t xml:space="preserve">Compared to the Southern Central Valley/South Mother Lode region and the state, Taft College Short-Term Career students (likely enrolled at </w:t>
      </w:r>
      <w:r w:rsidR="00CE7648">
        <w:rPr>
          <w:rFonts w:ascii="Calibri" w:hAnsi="Calibri"/>
        </w:rPr>
        <w:t>WESTEC</w:t>
      </w:r>
      <w:r w:rsidRPr="00F20D6C">
        <w:rPr>
          <w:rFonts w:ascii="Calibri" w:hAnsi="Calibri"/>
        </w:rPr>
        <w:t xml:space="preserve">) posted </w:t>
      </w:r>
      <w:r w:rsidR="00BD1C69">
        <w:rPr>
          <w:rFonts w:ascii="Calibri" w:hAnsi="Calibri"/>
        </w:rPr>
        <w:t xml:space="preserve">slightly lower levels </w:t>
      </w:r>
      <w:r w:rsidRPr="00F20D6C">
        <w:rPr>
          <w:rFonts w:ascii="Calibri" w:hAnsi="Calibri"/>
        </w:rPr>
        <w:t xml:space="preserve">of attaining the regional </w:t>
      </w:r>
      <w:r w:rsidR="00D17A81">
        <w:rPr>
          <w:rFonts w:ascii="Calibri" w:hAnsi="Calibri"/>
        </w:rPr>
        <w:t>l</w:t>
      </w:r>
      <w:r w:rsidRPr="00F20D6C">
        <w:rPr>
          <w:rFonts w:ascii="Calibri" w:hAnsi="Calibri"/>
        </w:rPr>
        <w:t xml:space="preserve">iving </w:t>
      </w:r>
      <w:r w:rsidR="00D17A81">
        <w:rPr>
          <w:rFonts w:ascii="Calibri" w:hAnsi="Calibri"/>
        </w:rPr>
        <w:t>w</w:t>
      </w:r>
      <w:r w:rsidRPr="00F20D6C">
        <w:rPr>
          <w:rFonts w:ascii="Calibri" w:hAnsi="Calibri"/>
        </w:rPr>
        <w:t>age after their training.</w:t>
      </w:r>
    </w:p>
    <w:p w14:paraId="79980944" w14:textId="77777777" w:rsidR="00527759" w:rsidRPr="00F20D6C" w:rsidRDefault="00527759" w:rsidP="00527759">
      <w:pPr>
        <w:rPr>
          <w:rFonts w:ascii="Calibri" w:hAnsi="Calibri"/>
        </w:rPr>
      </w:pPr>
    </w:p>
    <w:p w14:paraId="58A86785" w14:textId="77777777" w:rsidR="00527759" w:rsidRPr="00F20D6C" w:rsidRDefault="00527759" w:rsidP="00527759">
      <w:pPr>
        <w:rPr>
          <w:rFonts w:ascii="Calibri" w:hAnsi="Calibri"/>
        </w:rPr>
      </w:pPr>
    </w:p>
    <w:p w14:paraId="4F982FDC" w14:textId="77777777" w:rsidR="00527759" w:rsidRPr="00F20D6C" w:rsidRDefault="00527759" w:rsidP="00527759">
      <w:pPr>
        <w:rPr>
          <w:rFonts w:ascii="Calibri" w:hAnsi="Calibri"/>
        </w:rPr>
      </w:pPr>
    </w:p>
    <w:p w14:paraId="1C70DCE5" w14:textId="77777777" w:rsidR="00527759" w:rsidRPr="00F20D6C" w:rsidRDefault="00527759" w:rsidP="00527759">
      <w:pPr>
        <w:rPr>
          <w:rFonts w:ascii="Calibri" w:hAnsi="Calibri"/>
          <w:i/>
          <w:iCs/>
          <w:sz w:val="20"/>
          <w:szCs w:val="20"/>
        </w:rPr>
      </w:pPr>
    </w:p>
    <w:p w14:paraId="30D70C18" w14:textId="77777777" w:rsidR="00527759" w:rsidRDefault="00527759" w:rsidP="00527759">
      <w:pPr>
        <w:rPr>
          <w:rFonts w:ascii="Calibri" w:hAnsi="Calibri"/>
          <w:i/>
          <w:iCs/>
          <w:sz w:val="20"/>
          <w:szCs w:val="20"/>
        </w:rPr>
      </w:pPr>
    </w:p>
    <w:p w14:paraId="5F44C1AE" w14:textId="1B21C799" w:rsidR="003A0A6E" w:rsidRPr="00F20D6C" w:rsidRDefault="003A0A6E" w:rsidP="003A0A6E">
      <w:pPr>
        <w:rPr>
          <w:rFonts w:ascii="Calibri" w:hAnsi="Calibri"/>
        </w:rPr>
      </w:pPr>
      <w:bookmarkStart w:id="289" w:name="_Toc168762774"/>
      <w:r w:rsidRPr="00F20D6C">
        <w:rPr>
          <w:rFonts w:ascii="Calibri" w:hAnsi="Calibri"/>
          <w:i/>
          <w:iCs/>
          <w:sz w:val="20"/>
          <w:szCs w:val="20"/>
        </w:rPr>
        <w:t xml:space="preserve">Source: </w:t>
      </w:r>
      <w:hyperlink r:id="rId135" w:history="1">
        <w:r w:rsidRPr="00F20D6C">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hyperlink>
    </w:p>
    <w:p w14:paraId="6D86261E" w14:textId="1781155A" w:rsidR="00527759" w:rsidRDefault="00527759" w:rsidP="00F16EFC">
      <w:pPr>
        <w:rPr>
          <w:rFonts w:eastAsia="DengXian Light"/>
        </w:rPr>
      </w:pPr>
      <w:bookmarkStart w:id="290" w:name="_Toc194324297"/>
      <w:r w:rsidRPr="00F20D6C">
        <w:rPr>
          <w:rFonts w:eastAsia="DengXian Light"/>
        </w:rPr>
        <w:t>Career Education Employment Outcomes Compared, 2023</w:t>
      </w:r>
      <w:bookmarkEnd w:id="289"/>
      <w:bookmarkEnd w:id="290"/>
    </w:p>
    <w:p w14:paraId="59CAE43B" w14:textId="77777777" w:rsidR="001509DE" w:rsidRPr="001509DE" w:rsidRDefault="001509DE" w:rsidP="001509DE">
      <w:pPr>
        <w:rPr>
          <w:rFonts w:eastAsia="DengXian Light"/>
        </w:rPr>
      </w:pPr>
    </w:p>
    <w:p w14:paraId="4E713127" w14:textId="77777777" w:rsidR="00527759" w:rsidRPr="00F20D6C" w:rsidRDefault="00527759" w:rsidP="00527759">
      <w:pPr>
        <w:jc w:val="center"/>
        <w:rPr>
          <w:rFonts w:ascii="Calibri" w:hAnsi="Calibri"/>
        </w:rPr>
      </w:pPr>
      <w:r w:rsidRPr="00F20D6C">
        <w:rPr>
          <w:rFonts w:ascii="Calibri" w:hAnsi="Calibri"/>
          <w:noProof/>
        </w:rPr>
        <w:drawing>
          <wp:inline distT="0" distB="0" distL="0" distR="0" wp14:anchorId="449ABBDB" wp14:editId="7F259AC5">
            <wp:extent cx="4260850" cy="2309781"/>
            <wp:effectExtent l="0" t="0" r="6350" b="0"/>
            <wp:docPr id="647801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299534" name=""/>
                    <pic:cNvPicPr/>
                  </pic:nvPicPr>
                  <pic:blipFill>
                    <a:blip r:embed="rId136"/>
                    <a:stretch>
                      <a:fillRect/>
                    </a:stretch>
                  </pic:blipFill>
                  <pic:spPr>
                    <a:xfrm>
                      <a:off x="0" y="0"/>
                      <a:ext cx="4274318" cy="2317082"/>
                    </a:xfrm>
                    <a:prstGeom prst="rect">
                      <a:avLst/>
                    </a:prstGeom>
                  </pic:spPr>
                </pic:pic>
              </a:graphicData>
            </a:graphic>
          </wp:inline>
        </w:drawing>
      </w:r>
    </w:p>
    <w:p w14:paraId="6E89BECF" w14:textId="5915C086" w:rsidR="00527759" w:rsidRPr="003A0A6E" w:rsidRDefault="00527759" w:rsidP="003A0A6E">
      <w:pPr>
        <w:spacing w:after="0"/>
        <w:jc w:val="both"/>
        <w:rPr>
          <w:rFonts w:ascii="Calibri" w:hAnsi="Calibri"/>
          <w:i/>
          <w:iCs/>
          <w:sz w:val="20"/>
          <w:szCs w:val="20"/>
        </w:rPr>
      </w:pPr>
      <w:r w:rsidRPr="003A0A6E">
        <w:rPr>
          <w:rFonts w:ascii="Calibri" w:hAnsi="Calibri"/>
          <w:i/>
          <w:iCs/>
          <w:sz w:val="20"/>
          <w:szCs w:val="20"/>
        </w:rPr>
        <w:t>Source: California Community Colleges Career &amp; Technical Education Employment Outcomes Survey (</w:t>
      </w:r>
      <w:hyperlink r:id="rId137" w:history="1">
        <w:r w:rsidRPr="003A0A6E">
          <w:rPr>
            <w:rFonts w:ascii="Calibri" w:hAnsi="Calibri"/>
            <w:i/>
            <w:iCs/>
            <w:sz w:val="20"/>
            <w:szCs w:val="20"/>
            <w:u w:val="single"/>
          </w:rPr>
          <w:t>CTEOS</w:t>
        </w:r>
      </w:hyperlink>
      <w:r w:rsidRPr="003A0A6E">
        <w:rPr>
          <w:rFonts w:ascii="Calibri" w:hAnsi="Calibri"/>
          <w:i/>
          <w:iCs/>
          <w:sz w:val="20"/>
          <w:szCs w:val="20"/>
        </w:rPr>
        <w:t>)</w:t>
      </w:r>
      <w:r w:rsidR="003A0A6E">
        <w:rPr>
          <w:rFonts w:ascii="Calibri" w:hAnsi="Calibri"/>
          <w:i/>
          <w:iCs/>
          <w:sz w:val="20"/>
          <w:szCs w:val="20"/>
        </w:rPr>
        <w:t>.</w:t>
      </w:r>
    </w:p>
    <w:p w14:paraId="356A0542" w14:textId="77777777" w:rsidR="00527759" w:rsidRPr="00F20D6C" w:rsidRDefault="00527759" w:rsidP="00527759">
      <w:pPr>
        <w:rPr>
          <w:rFonts w:ascii="Calibri" w:hAnsi="Calibri"/>
        </w:rPr>
      </w:pPr>
    </w:p>
    <w:p w14:paraId="3F588AC5" w14:textId="77777777" w:rsidR="00527759" w:rsidRPr="00F20D6C" w:rsidRDefault="00527759" w:rsidP="00527759">
      <w:pPr>
        <w:rPr>
          <w:rFonts w:ascii="Calibri" w:hAnsi="Calibri"/>
        </w:rPr>
      </w:pPr>
      <w:r w:rsidRPr="00F20D6C">
        <w:rPr>
          <w:rFonts w:ascii="Calibri" w:hAnsi="Calibri"/>
        </w:rPr>
        <w:t>Taft College students, and CCC students statewide, show an increase in earnings after participating in career education programs and training.</w:t>
      </w:r>
    </w:p>
    <w:p w14:paraId="42D08095" w14:textId="2F6C06B2" w:rsidR="00527759" w:rsidRPr="00473688" w:rsidRDefault="00527759" w:rsidP="00527759">
      <w:pPr>
        <w:rPr>
          <w:rFonts w:ascii="Calibri" w:hAnsi="Calibri"/>
        </w:rPr>
      </w:pPr>
      <w:r w:rsidRPr="00F20D6C">
        <w:rPr>
          <w:rFonts w:ascii="Calibri" w:hAnsi="Calibri"/>
        </w:rPr>
        <w:t xml:space="preserve">The increase in wages brings Taft College students, on average, above the regional </w:t>
      </w:r>
      <w:r w:rsidR="00D17A81">
        <w:rPr>
          <w:rFonts w:ascii="Calibri" w:hAnsi="Calibri"/>
        </w:rPr>
        <w:t>l</w:t>
      </w:r>
      <w:r w:rsidRPr="00F20D6C">
        <w:rPr>
          <w:rFonts w:ascii="Calibri" w:hAnsi="Calibri"/>
        </w:rPr>
        <w:t xml:space="preserve">iving </w:t>
      </w:r>
      <w:r w:rsidR="00D17A81">
        <w:rPr>
          <w:rFonts w:ascii="Calibri" w:hAnsi="Calibri"/>
        </w:rPr>
        <w:t>w</w:t>
      </w:r>
      <w:r w:rsidRPr="00F20D6C">
        <w:rPr>
          <w:rFonts w:ascii="Calibri" w:hAnsi="Calibri"/>
        </w:rPr>
        <w:t xml:space="preserve">age ($21.44 for 1 adult 0 children, February 2024, </w:t>
      </w:r>
      <w:hyperlink r:id="rId138" w:history="1">
        <w:r w:rsidRPr="00F20D6C">
          <w:rPr>
            <w:rFonts w:ascii="Calibri" w:hAnsi="Calibri"/>
            <w:color w:val="0000FF"/>
            <w:u w:val="single"/>
          </w:rPr>
          <w:t>Living Wage Calculator, Kern County California)</w:t>
        </w:r>
      </w:hyperlink>
      <w:r w:rsidRPr="00F20D6C">
        <w:rPr>
          <w:rFonts w:ascii="Calibri" w:hAnsi="Calibri"/>
          <w:color w:val="0000FF"/>
          <w:u w:val="single"/>
        </w:rPr>
        <w:t>.</w:t>
      </w:r>
    </w:p>
    <w:p w14:paraId="53E1A5E0" w14:textId="77777777" w:rsidR="00527759" w:rsidRDefault="00527759" w:rsidP="00527759">
      <w:pPr>
        <w:rPr>
          <w:rFonts w:ascii="Calibri" w:hAnsi="Calibri"/>
          <w:i/>
          <w:iCs/>
          <w:sz w:val="20"/>
          <w:szCs w:val="20"/>
        </w:rPr>
      </w:pPr>
    </w:p>
    <w:p w14:paraId="4B63620F" w14:textId="77777777" w:rsidR="001509DE" w:rsidRDefault="001509DE">
      <w:pPr>
        <w:spacing w:after="0"/>
        <w:rPr>
          <w:rFonts w:asciiTheme="majorHAnsi" w:eastAsia="DengXian Light" w:hAnsiTheme="majorHAnsi" w:cstheme="majorBidi"/>
          <w:b/>
          <w:bCs/>
          <w:color w:val="4472C4" w:themeColor="accent1"/>
          <w:sz w:val="24"/>
        </w:rPr>
      </w:pPr>
      <w:bookmarkStart w:id="291" w:name="_Toc168762773"/>
      <w:r>
        <w:rPr>
          <w:rFonts w:eastAsia="DengXian Light"/>
        </w:rPr>
        <w:br w:type="page"/>
      </w:r>
    </w:p>
    <w:p w14:paraId="12A562BC" w14:textId="48143C8A" w:rsidR="00527759" w:rsidRDefault="00527759" w:rsidP="00816B2E">
      <w:pPr>
        <w:pStyle w:val="Heading2"/>
      </w:pPr>
      <w:bookmarkStart w:id="292" w:name="_Toc194931273"/>
      <w:bookmarkStart w:id="293" w:name="_Toc194931598"/>
      <w:r w:rsidRPr="00F20D6C">
        <w:lastRenderedPageBreak/>
        <w:t>Career Education Wage Outcomes by Program</w:t>
      </w:r>
      <w:bookmarkEnd w:id="291"/>
      <w:bookmarkEnd w:id="292"/>
      <w:bookmarkEnd w:id="293"/>
    </w:p>
    <w:p w14:paraId="0AE89E9D" w14:textId="77777777" w:rsidR="001509DE" w:rsidRPr="001509DE" w:rsidRDefault="001509DE" w:rsidP="001509DE">
      <w:pPr>
        <w:rPr>
          <w:rFonts w:eastAsia="DengXian Light"/>
        </w:rPr>
      </w:pPr>
    </w:p>
    <w:p w14:paraId="6DC99066" w14:textId="77777777" w:rsidR="00527759" w:rsidRPr="00F20D6C" w:rsidRDefault="00527759" w:rsidP="00527759">
      <w:pPr>
        <w:rPr>
          <w:rFonts w:ascii="Calibri" w:hAnsi="Calibri"/>
        </w:rPr>
      </w:pPr>
      <w:r w:rsidRPr="00F20D6C">
        <w:rPr>
          <w:rFonts w:ascii="Calibri" w:hAnsi="Calibri"/>
          <w:noProof/>
        </w:rPr>
        <w:drawing>
          <wp:inline distT="0" distB="0" distL="0" distR="0" wp14:anchorId="60AF6C14" wp14:editId="44D2267D">
            <wp:extent cx="5943600" cy="6623685"/>
            <wp:effectExtent l="0" t="0" r="0" b="5715"/>
            <wp:docPr id="1384171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982785" name=""/>
                    <pic:cNvPicPr/>
                  </pic:nvPicPr>
                  <pic:blipFill>
                    <a:blip r:embed="rId139"/>
                    <a:stretch>
                      <a:fillRect/>
                    </a:stretch>
                  </pic:blipFill>
                  <pic:spPr>
                    <a:xfrm>
                      <a:off x="0" y="0"/>
                      <a:ext cx="5943600" cy="6623685"/>
                    </a:xfrm>
                    <a:prstGeom prst="rect">
                      <a:avLst/>
                    </a:prstGeom>
                  </pic:spPr>
                </pic:pic>
              </a:graphicData>
            </a:graphic>
          </wp:inline>
        </w:drawing>
      </w:r>
    </w:p>
    <w:p w14:paraId="68B58B8B" w14:textId="07906CDA" w:rsidR="00527759" w:rsidRPr="00F20D6C" w:rsidRDefault="00527759" w:rsidP="00527759">
      <w:pPr>
        <w:rPr>
          <w:rFonts w:ascii="Calibri" w:hAnsi="Calibri"/>
        </w:rPr>
      </w:pPr>
      <w:r w:rsidRPr="00F20D6C">
        <w:rPr>
          <w:rFonts w:ascii="Calibri" w:hAnsi="Calibri"/>
        </w:rPr>
        <w:t>The above table shows the increase in wages for aggregated Taft College students by local program of study, 2017-2023, ranked from highest</w:t>
      </w:r>
      <w:r w:rsidR="00CC5AF3">
        <w:rPr>
          <w:rFonts w:ascii="Calibri" w:hAnsi="Calibri"/>
        </w:rPr>
        <w:t xml:space="preserve"> </w:t>
      </w:r>
      <w:r w:rsidRPr="00F20D6C">
        <w:rPr>
          <w:rFonts w:ascii="Calibri" w:hAnsi="Calibri"/>
        </w:rPr>
        <w:t>increase to lowest. Dental Hygiene, Energy Technology, Management, and Business Administration post the largest increases in wage gains over the past six years.</w:t>
      </w:r>
    </w:p>
    <w:p w14:paraId="2B476E35" w14:textId="77777777" w:rsidR="001509DE" w:rsidRDefault="001509DE">
      <w:pPr>
        <w:spacing w:after="0"/>
        <w:rPr>
          <w:rFonts w:ascii="Calibri" w:eastAsia="DengXian Light" w:hAnsi="Calibri" w:cs="Calibri"/>
          <w:b/>
          <w:bCs/>
          <w:color w:val="FF9900"/>
          <w:sz w:val="28"/>
          <w:szCs w:val="28"/>
        </w:rPr>
      </w:pPr>
      <w:bookmarkStart w:id="294" w:name="_Toc168762750"/>
      <w:bookmarkStart w:id="295" w:name="_Toc168762771"/>
      <w:r>
        <w:rPr>
          <w:rFonts w:ascii="Calibri" w:eastAsia="DengXian Light" w:hAnsi="Calibri" w:cs="Calibri"/>
          <w:b/>
          <w:bCs/>
          <w:color w:val="FF9900"/>
          <w:sz w:val="28"/>
          <w:szCs w:val="28"/>
        </w:rPr>
        <w:br w:type="page"/>
      </w:r>
    </w:p>
    <w:p w14:paraId="4E0F157C" w14:textId="4EED1ADD" w:rsidR="00527759" w:rsidRDefault="00527759" w:rsidP="00816B2E">
      <w:pPr>
        <w:pStyle w:val="Heading2"/>
      </w:pPr>
      <w:bookmarkStart w:id="296" w:name="_Toc194931274"/>
      <w:bookmarkStart w:id="297" w:name="_Toc194931599"/>
      <w:bookmarkEnd w:id="294"/>
      <w:r w:rsidRPr="00F20D6C">
        <w:lastRenderedPageBreak/>
        <w:t>Student Outcomes: Undecided/Other Students</w:t>
      </w:r>
      <w:bookmarkEnd w:id="295"/>
      <w:bookmarkEnd w:id="296"/>
      <w:bookmarkEnd w:id="297"/>
    </w:p>
    <w:p w14:paraId="33B80F96" w14:textId="2B4A5276" w:rsidR="00527759" w:rsidRPr="00CA41B9" w:rsidRDefault="00CA41B9" w:rsidP="00527759">
      <w:pPr>
        <w:rPr>
          <w:rFonts w:eastAsia="DengXian Light"/>
        </w:rPr>
      </w:pPr>
      <w:r>
        <w:rPr>
          <w:noProof/>
        </w:rPr>
        <w:drawing>
          <wp:inline distT="0" distB="0" distL="0" distR="0" wp14:anchorId="0249E6E2" wp14:editId="2845834A">
            <wp:extent cx="6400800" cy="4483100"/>
            <wp:effectExtent l="0" t="0" r="0" b="0"/>
            <wp:docPr id="1785583766" name="Picture 6" descr="A graph with a line and numbers&#10;&#10;Description automatically generated">
              <a:extLst xmlns:a="http://schemas.openxmlformats.org/drawingml/2006/main">
                <a:ext uri="{FF2B5EF4-FFF2-40B4-BE49-F238E27FC236}">
                  <a16:creationId xmlns:a16="http://schemas.microsoft.com/office/drawing/2014/main" id="{EA03CF30-8AC4-076F-8FA4-65CD8259DF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83766" name="Picture 6" descr="A graph with a line and numbers&#10;&#10;Description automatically generated">
                      <a:extLst>
                        <a:ext uri="{FF2B5EF4-FFF2-40B4-BE49-F238E27FC236}">
                          <a16:creationId xmlns:a16="http://schemas.microsoft.com/office/drawing/2014/main" id="{EA03CF30-8AC4-076F-8FA4-65CD8259DF42}"/>
                        </a:ext>
                      </a:extLst>
                    </pic:cNvPr>
                    <pic:cNvPicPr>
                      <a:picLocks noChangeAspect="1"/>
                    </pic:cNvPicPr>
                  </pic:nvPicPr>
                  <pic:blipFill>
                    <a:blip r:embed="rId140"/>
                    <a:stretch>
                      <a:fillRect/>
                    </a:stretch>
                  </pic:blipFill>
                  <pic:spPr>
                    <a:xfrm>
                      <a:off x="0" y="0"/>
                      <a:ext cx="6400800" cy="4483100"/>
                    </a:xfrm>
                    <a:prstGeom prst="rect">
                      <a:avLst/>
                    </a:prstGeom>
                  </pic:spPr>
                </pic:pic>
              </a:graphicData>
            </a:graphic>
          </wp:inline>
        </w:drawing>
      </w:r>
    </w:p>
    <w:p w14:paraId="373AC9A8" w14:textId="5E2BD02B" w:rsidR="00527759" w:rsidRPr="003A0A6E" w:rsidRDefault="00527759" w:rsidP="00527759">
      <w:pPr>
        <w:rPr>
          <w:rFonts w:ascii="Calibri" w:hAnsi="Calibri"/>
          <w:sz w:val="20"/>
          <w:szCs w:val="20"/>
        </w:rPr>
      </w:pPr>
      <w:r w:rsidRPr="003A0A6E">
        <w:rPr>
          <w:rFonts w:ascii="Calibri" w:hAnsi="Calibri"/>
          <w:i/>
          <w:iCs/>
          <w:sz w:val="20"/>
          <w:szCs w:val="20"/>
        </w:rPr>
        <w:t xml:space="preserve">Source: </w:t>
      </w:r>
      <w:hyperlink r:id="rId141" w:history="1">
        <w:r w:rsidRPr="003A0A6E">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hyperlink>
    </w:p>
    <w:p w14:paraId="6556F58A" w14:textId="77777777" w:rsidR="00527759" w:rsidRDefault="00527759" w:rsidP="00527759">
      <w:pPr>
        <w:rPr>
          <w:rFonts w:ascii="Calibri" w:hAnsi="Calibri"/>
        </w:rPr>
      </w:pPr>
      <w:r w:rsidRPr="00F20D6C">
        <w:rPr>
          <w:rFonts w:ascii="Calibri" w:hAnsi="Calibri"/>
        </w:rPr>
        <w:t>The number of Taft College students who are undecided on their educational goal, or who fall into one of the lower-enrolled categories of Life-long learning or currently enrolled at a 4-year institution, has been decreasing. Other colleges with a similar trend have attributed it to better collection of educational goals data from students upon matriculation. In any event, the numbers have decreased at Taft, and it is not possible to know what the true educational goal of these students is, so assessing outcomes without a stated goal makes no sense.</w:t>
      </w:r>
    </w:p>
    <w:p w14:paraId="00BC1528" w14:textId="77777777" w:rsidR="00372F7D" w:rsidRPr="00492794" w:rsidRDefault="00372F7D" w:rsidP="008F2145">
      <w:pPr>
        <w:pStyle w:val="Heading2"/>
      </w:pPr>
      <w:bookmarkStart w:id="298" w:name="_Toc194931275"/>
      <w:bookmarkStart w:id="299" w:name="_Toc194931600"/>
      <w:r>
        <w:t>Student Surveys</w:t>
      </w:r>
      <w:bookmarkEnd w:id="298"/>
      <w:bookmarkEnd w:id="299"/>
    </w:p>
    <w:p w14:paraId="4A844C0A" w14:textId="77777777" w:rsidR="00372F7D" w:rsidRPr="00492794" w:rsidRDefault="00372F7D" w:rsidP="00372F7D">
      <w:r w:rsidRPr="00492794">
        <w:t xml:space="preserve">In addition to the student voices captured in the listening sessions, which are reported in the next section of this document, student feedback provided through surveys were also analyzed to capture a broader range of the student experience and help inform the Educational Master Plan. The two student surveys analyzed were the 2024 Community College Survey of Student Engagement (CCSSE) and the 2023 Taft College Student Survey. Findings from those analyses are provided in the sections that follow. </w:t>
      </w:r>
    </w:p>
    <w:p w14:paraId="5065F16D" w14:textId="77777777" w:rsidR="00372F7D" w:rsidRDefault="00372F7D" w:rsidP="00F16EFC">
      <w:r w:rsidRPr="00AD1260">
        <w:t>Community College Survey of Student Engagement (CCSSE)</w:t>
      </w:r>
      <w:r>
        <w:t>, 2024</w:t>
      </w:r>
    </w:p>
    <w:p w14:paraId="71EBC713" w14:textId="77777777" w:rsidR="00372F7D" w:rsidRPr="00AD1260" w:rsidRDefault="00372F7D" w:rsidP="00372F7D">
      <w:pPr>
        <w:rPr>
          <w:szCs w:val="22"/>
        </w:rPr>
      </w:pPr>
      <w:r w:rsidRPr="00AD1260">
        <w:rPr>
          <w:szCs w:val="22"/>
        </w:rPr>
        <w:t>In Spring 2024, the CCSSE was administered to Taft College students</w:t>
      </w:r>
      <w:r>
        <w:rPr>
          <w:szCs w:val="22"/>
        </w:rPr>
        <w:t>;</w:t>
      </w:r>
      <w:r w:rsidRPr="00AD1260">
        <w:rPr>
          <w:szCs w:val="22"/>
        </w:rPr>
        <w:t xml:space="preserve"> 274 </w:t>
      </w:r>
      <w:r>
        <w:rPr>
          <w:szCs w:val="22"/>
        </w:rPr>
        <w:t xml:space="preserve">students </w:t>
      </w:r>
      <w:r w:rsidRPr="00AD1260">
        <w:rPr>
          <w:szCs w:val="22"/>
        </w:rPr>
        <w:t>answered the survey for a participation rate of approximately 13%. Key findings include</w:t>
      </w:r>
      <w:r>
        <w:rPr>
          <w:szCs w:val="22"/>
        </w:rPr>
        <w:t>d the following</w:t>
      </w:r>
      <w:r w:rsidRPr="00AD1260">
        <w:rPr>
          <w:szCs w:val="22"/>
        </w:rPr>
        <w:t>:</w:t>
      </w:r>
    </w:p>
    <w:p w14:paraId="7D4113FE" w14:textId="77777777" w:rsidR="00372F7D" w:rsidRDefault="00372F7D" w:rsidP="00372F7D">
      <w:pPr>
        <w:pStyle w:val="ListParagraph"/>
        <w:numPr>
          <w:ilvl w:val="0"/>
          <w:numId w:val="41"/>
        </w:numPr>
        <w:spacing w:after="0"/>
        <w:rPr>
          <w:szCs w:val="22"/>
        </w:rPr>
      </w:pPr>
      <w:r w:rsidRPr="00AD1260">
        <w:rPr>
          <w:szCs w:val="22"/>
        </w:rPr>
        <w:t>Taft College students are generally more satisfied with their college experience than the students at similar small community colleges, and more satisfied than the average for all community college students responding to the survey nationally.</w:t>
      </w:r>
    </w:p>
    <w:p w14:paraId="44A8ED49" w14:textId="77777777" w:rsidR="00372F7D" w:rsidRPr="00AD1260" w:rsidRDefault="00372F7D" w:rsidP="00372F7D">
      <w:pPr>
        <w:pStyle w:val="ListParagraph"/>
        <w:spacing w:after="0"/>
        <w:rPr>
          <w:szCs w:val="22"/>
        </w:rPr>
      </w:pPr>
    </w:p>
    <w:p w14:paraId="1FA3E6A8" w14:textId="77777777" w:rsidR="00372F7D" w:rsidRPr="00AD1260" w:rsidRDefault="00372F7D" w:rsidP="00372F7D">
      <w:pPr>
        <w:pStyle w:val="ListParagraph"/>
        <w:numPr>
          <w:ilvl w:val="0"/>
          <w:numId w:val="41"/>
        </w:numPr>
        <w:spacing w:after="0"/>
        <w:rPr>
          <w:szCs w:val="22"/>
        </w:rPr>
      </w:pPr>
      <w:r w:rsidRPr="00AD1260">
        <w:rPr>
          <w:szCs w:val="22"/>
        </w:rPr>
        <w:lastRenderedPageBreak/>
        <w:t>Taft College students report higher levels of interaction with instructors, and higher levels of accessing and being satisfied with student support services, specifically library resources, tutoring and skills labs, counseling, and specialized programs such as services for veterans and students with disabilities.</w:t>
      </w:r>
      <w:r>
        <w:rPr>
          <w:szCs w:val="22"/>
        </w:rPr>
        <w:br/>
      </w:r>
    </w:p>
    <w:p w14:paraId="6DD48C67" w14:textId="77777777" w:rsidR="00372F7D" w:rsidRPr="00AD1260" w:rsidRDefault="00372F7D" w:rsidP="00372F7D">
      <w:pPr>
        <w:pStyle w:val="ListParagraph"/>
        <w:numPr>
          <w:ilvl w:val="0"/>
          <w:numId w:val="41"/>
        </w:numPr>
        <w:spacing w:after="0"/>
        <w:rPr>
          <w:szCs w:val="22"/>
        </w:rPr>
      </w:pPr>
      <w:r w:rsidRPr="00AD1260">
        <w:rPr>
          <w:szCs w:val="22"/>
        </w:rPr>
        <w:t xml:space="preserve">Students highlighted the following as important: </w:t>
      </w:r>
      <w:r>
        <w:rPr>
          <w:szCs w:val="22"/>
        </w:rPr>
        <w:t>z</w:t>
      </w:r>
      <w:r w:rsidRPr="00AD1260">
        <w:rPr>
          <w:szCs w:val="22"/>
        </w:rPr>
        <w:t>ero textbook cost classes, transfer/career counseling and job placement, tutoring/skills labs, student organizations, library resources and services, and specialized support programs such as veterans and disability resources.</w:t>
      </w:r>
      <w:r>
        <w:rPr>
          <w:szCs w:val="22"/>
        </w:rPr>
        <w:br/>
      </w:r>
    </w:p>
    <w:p w14:paraId="0E1B2F4D" w14:textId="77777777" w:rsidR="00372F7D" w:rsidRPr="00AD1260" w:rsidRDefault="00372F7D" w:rsidP="00372F7D">
      <w:pPr>
        <w:pStyle w:val="ListParagraph"/>
        <w:numPr>
          <w:ilvl w:val="0"/>
          <w:numId w:val="41"/>
        </w:numPr>
        <w:spacing w:after="0"/>
        <w:rPr>
          <w:szCs w:val="22"/>
        </w:rPr>
      </w:pPr>
      <w:r w:rsidRPr="00AD1260">
        <w:rPr>
          <w:szCs w:val="22"/>
        </w:rPr>
        <w:t>Compared to national averages, Taft College students reported significantly higher levels of support for student learners and lower levels of academic challenge/rigor (fewer readings</w:t>
      </w:r>
      <w:r>
        <w:rPr>
          <w:szCs w:val="22"/>
        </w:rPr>
        <w:t xml:space="preserve"> and</w:t>
      </w:r>
      <w:r w:rsidRPr="00AD1260">
        <w:rPr>
          <w:szCs w:val="22"/>
        </w:rPr>
        <w:t xml:space="preserve"> written </w:t>
      </w:r>
      <w:r>
        <w:rPr>
          <w:szCs w:val="22"/>
        </w:rPr>
        <w:t>a</w:t>
      </w:r>
      <w:r w:rsidRPr="00AD1260">
        <w:rPr>
          <w:szCs w:val="22"/>
        </w:rPr>
        <w:t>ssignments).</w:t>
      </w:r>
    </w:p>
    <w:p w14:paraId="43F25565" w14:textId="77777777" w:rsidR="00372F7D" w:rsidRDefault="00372F7D" w:rsidP="00372F7D">
      <w:pPr>
        <w:rPr>
          <w:szCs w:val="22"/>
        </w:rPr>
      </w:pPr>
    </w:p>
    <w:p w14:paraId="42C2D4EA" w14:textId="77777777" w:rsidR="00372F7D" w:rsidRDefault="00372F7D" w:rsidP="00372F7D">
      <w:pPr>
        <w:rPr>
          <w:szCs w:val="22"/>
        </w:rPr>
      </w:pPr>
      <w:r w:rsidRPr="00AD1260">
        <w:rPr>
          <w:szCs w:val="22"/>
        </w:rPr>
        <w:t>On the CCSSE benchmark of "Support for Learners," Taft College scored above the average for the top 10% of the national cohort, which is remarkable.</w:t>
      </w:r>
    </w:p>
    <w:p w14:paraId="476EEAF3" w14:textId="77777777" w:rsidR="00372F7D" w:rsidRDefault="00372F7D" w:rsidP="00F16EFC">
      <w:r w:rsidRPr="00AD1260">
        <w:t>Taft College Student Survey</w:t>
      </w:r>
      <w:r>
        <w:t>, 2023</w:t>
      </w:r>
    </w:p>
    <w:p w14:paraId="0538533C" w14:textId="77777777" w:rsidR="00372F7D" w:rsidRPr="00AD1260" w:rsidRDefault="00372F7D" w:rsidP="00372F7D">
      <w:pPr>
        <w:rPr>
          <w:szCs w:val="22"/>
        </w:rPr>
      </w:pPr>
      <w:r w:rsidRPr="00AD1260">
        <w:rPr>
          <w:szCs w:val="22"/>
        </w:rPr>
        <w:t>Each Fall semester, Taft College administers an intern</w:t>
      </w:r>
      <w:r>
        <w:rPr>
          <w:szCs w:val="22"/>
        </w:rPr>
        <w:t>a</w:t>
      </w:r>
      <w:r w:rsidRPr="00AD1260">
        <w:rPr>
          <w:szCs w:val="22"/>
        </w:rPr>
        <w:t>lly developed survey to current students. In Fall 2023, 477 students answered the survey for a response rate of approximately 20%.</w:t>
      </w:r>
      <w:r>
        <w:rPr>
          <w:szCs w:val="22"/>
        </w:rPr>
        <w:t xml:space="preserve"> </w:t>
      </w:r>
      <w:r w:rsidRPr="00AD1260">
        <w:rPr>
          <w:szCs w:val="22"/>
        </w:rPr>
        <w:t>Key findings include</w:t>
      </w:r>
      <w:r>
        <w:rPr>
          <w:szCs w:val="22"/>
        </w:rPr>
        <w:t>d the following</w:t>
      </w:r>
      <w:r w:rsidRPr="00AD1260">
        <w:rPr>
          <w:szCs w:val="22"/>
        </w:rPr>
        <w:t>:</w:t>
      </w:r>
    </w:p>
    <w:p w14:paraId="5CDDC7F0" w14:textId="77777777" w:rsidR="00372F7D" w:rsidRPr="00AD1260" w:rsidRDefault="00372F7D" w:rsidP="00372F7D">
      <w:pPr>
        <w:pStyle w:val="ListParagraph"/>
        <w:numPr>
          <w:ilvl w:val="0"/>
          <w:numId w:val="42"/>
        </w:numPr>
        <w:spacing w:after="0"/>
        <w:rPr>
          <w:szCs w:val="22"/>
        </w:rPr>
      </w:pPr>
      <w:r w:rsidRPr="00AD1260">
        <w:rPr>
          <w:szCs w:val="22"/>
        </w:rPr>
        <w:t xml:space="preserve">Students choose Taft College due to its "good reputation" (50.3%), "programs </w:t>
      </w:r>
      <w:r>
        <w:rPr>
          <w:szCs w:val="22"/>
        </w:rPr>
        <w:t xml:space="preserve">I </w:t>
      </w:r>
      <w:r w:rsidRPr="00AD1260">
        <w:rPr>
          <w:szCs w:val="22"/>
        </w:rPr>
        <w:t>wanted” (46.1%), and schedule, resources for students, and location (</w:t>
      </w:r>
      <w:r>
        <w:rPr>
          <w:szCs w:val="22"/>
        </w:rPr>
        <w:t xml:space="preserve">approximately </w:t>
      </w:r>
      <w:r w:rsidRPr="00AD1260">
        <w:rPr>
          <w:szCs w:val="22"/>
        </w:rPr>
        <w:t>39% each).</w:t>
      </w:r>
    </w:p>
    <w:p w14:paraId="434C234B" w14:textId="77777777" w:rsidR="00372F7D" w:rsidRDefault="00372F7D" w:rsidP="00372F7D">
      <w:pPr>
        <w:pStyle w:val="ListParagraph"/>
        <w:spacing w:after="0"/>
        <w:rPr>
          <w:szCs w:val="22"/>
        </w:rPr>
      </w:pPr>
    </w:p>
    <w:p w14:paraId="5AF2DDAB" w14:textId="77777777" w:rsidR="00372F7D" w:rsidRPr="00AD1260" w:rsidRDefault="00372F7D" w:rsidP="00372F7D">
      <w:pPr>
        <w:pStyle w:val="ListParagraph"/>
        <w:numPr>
          <w:ilvl w:val="0"/>
          <w:numId w:val="42"/>
        </w:numPr>
        <w:spacing w:after="0"/>
        <w:rPr>
          <w:szCs w:val="22"/>
        </w:rPr>
      </w:pPr>
      <w:r w:rsidRPr="00AD1260">
        <w:rPr>
          <w:szCs w:val="22"/>
        </w:rPr>
        <w:t xml:space="preserve">Challenges </w:t>
      </w:r>
      <w:r>
        <w:rPr>
          <w:szCs w:val="22"/>
        </w:rPr>
        <w:t xml:space="preserve">cited </w:t>
      </w:r>
      <w:r w:rsidRPr="00AD1260">
        <w:rPr>
          <w:szCs w:val="22"/>
        </w:rPr>
        <w:t xml:space="preserve">to remaining enrolled at Taft College include </w:t>
      </w:r>
      <w:r>
        <w:rPr>
          <w:szCs w:val="22"/>
        </w:rPr>
        <w:t>t</w:t>
      </w:r>
      <w:r w:rsidRPr="00AD1260">
        <w:rPr>
          <w:szCs w:val="22"/>
        </w:rPr>
        <w:t>ransportation issues (20.4%), personal issues (14.8%), schedule conflict (10.0%), family issues (8.8%), and cost of college fees and "not doing well in classes" (8.0% each).</w:t>
      </w:r>
      <w:r>
        <w:rPr>
          <w:szCs w:val="22"/>
        </w:rPr>
        <w:br/>
      </w:r>
    </w:p>
    <w:p w14:paraId="322ED8C4" w14:textId="77777777" w:rsidR="00372F7D" w:rsidRPr="00AD1260" w:rsidRDefault="00372F7D" w:rsidP="00372F7D">
      <w:pPr>
        <w:pStyle w:val="ListParagraph"/>
        <w:numPr>
          <w:ilvl w:val="0"/>
          <w:numId w:val="42"/>
        </w:numPr>
        <w:spacing w:after="0"/>
        <w:rPr>
          <w:szCs w:val="22"/>
        </w:rPr>
      </w:pPr>
      <w:r w:rsidRPr="00AD1260">
        <w:rPr>
          <w:szCs w:val="22"/>
        </w:rPr>
        <w:t>For students who considered leaving Taft College but decided to stay, their reasons were</w:t>
      </w:r>
      <w:r>
        <w:rPr>
          <w:szCs w:val="22"/>
        </w:rPr>
        <w:t>:</w:t>
      </w:r>
      <w:r w:rsidRPr="00AD1260">
        <w:rPr>
          <w:szCs w:val="22"/>
        </w:rPr>
        <w:t xml:space="preserve"> </w:t>
      </w:r>
      <w:r>
        <w:rPr>
          <w:szCs w:val="22"/>
        </w:rPr>
        <w:t>q</w:t>
      </w:r>
      <w:r w:rsidRPr="00AD1260">
        <w:rPr>
          <w:szCs w:val="22"/>
        </w:rPr>
        <w:t>uality of classes (54.7%), resources to help me (46.9%), class sizes (41.7%), college location and connections with instructor (34.9% each)</w:t>
      </w:r>
      <w:r>
        <w:rPr>
          <w:szCs w:val="22"/>
        </w:rPr>
        <w:t>,</w:t>
      </w:r>
      <w:r w:rsidRPr="00AD1260">
        <w:rPr>
          <w:szCs w:val="22"/>
        </w:rPr>
        <w:t xml:space="preserve"> and the </w:t>
      </w:r>
      <w:r>
        <w:rPr>
          <w:szCs w:val="22"/>
        </w:rPr>
        <w:t>P</w:t>
      </w:r>
      <w:r w:rsidRPr="00AD1260">
        <w:rPr>
          <w:szCs w:val="22"/>
        </w:rPr>
        <w:t xml:space="preserve">romise </w:t>
      </w:r>
      <w:r>
        <w:rPr>
          <w:szCs w:val="22"/>
        </w:rPr>
        <w:t>P</w:t>
      </w:r>
      <w:r w:rsidRPr="00AD1260">
        <w:rPr>
          <w:szCs w:val="22"/>
        </w:rPr>
        <w:t>rogram (21.9%).</w:t>
      </w:r>
      <w:r>
        <w:rPr>
          <w:szCs w:val="22"/>
        </w:rPr>
        <w:br/>
      </w:r>
    </w:p>
    <w:p w14:paraId="4A3EA368" w14:textId="77777777" w:rsidR="00372F7D" w:rsidRPr="00AD1260" w:rsidRDefault="00372F7D" w:rsidP="00372F7D">
      <w:pPr>
        <w:pStyle w:val="ListParagraph"/>
        <w:numPr>
          <w:ilvl w:val="0"/>
          <w:numId w:val="42"/>
        </w:numPr>
        <w:spacing w:after="0"/>
        <w:rPr>
          <w:szCs w:val="22"/>
        </w:rPr>
      </w:pPr>
      <w:r w:rsidRPr="00AD1260">
        <w:rPr>
          <w:szCs w:val="22"/>
        </w:rPr>
        <w:t>88.7% of Taft College students report using Taft College resources to be successful in their classes</w:t>
      </w:r>
      <w:r>
        <w:rPr>
          <w:szCs w:val="22"/>
        </w:rPr>
        <w:t xml:space="preserve">. The highest areas cited </w:t>
      </w:r>
      <w:proofErr w:type="gramStart"/>
      <w:r>
        <w:rPr>
          <w:szCs w:val="22"/>
        </w:rPr>
        <w:t>were:</w:t>
      </w:r>
      <w:proofErr w:type="gramEnd"/>
      <w:r w:rsidRPr="00AD1260">
        <w:rPr>
          <w:szCs w:val="22"/>
        </w:rPr>
        <w:t xml:space="preserve"> </w:t>
      </w:r>
      <w:r>
        <w:rPr>
          <w:szCs w:val="22"/>
        </w:rPr>
        <w:t>l</w:t>
      </w:r>
      <w:r w:rsidRPr="00AD1260">
        <w:rPr>
          <w:szCs w:val="22"/>
        </w:rPr>
        <w:t xml:space="preserve">ibrary resources (63.8%), </w:t>
      </w:r>
      <w:r>
        <w:rPr>
          <w:szCs w:val="22"/>
        </w:rPr>
        <w:t>l</w:t>
      </w:r>
      <w:r w:rsidRPr="00AD1260">
        <w:rPr>
          <w:szCs w:val="22"/>
        </w:rPr>
        <w:t xml:space="preserve">ibrary check-outs (44.0%), </w:t>
      </w:r>
      <w:r>
        <w:rPr>
          <w:szCs w:val="22"/>
        </w:rPr>
        <w:t>i</w:t>
      </w:r>
      <w:r w:rsidRPr="00AD1260">
        <w:rPr>
          <w:szCs w:val="22"/>
        </w:rPr>
        <w:t>nstructor's office hours (42.6%), Basic Needs/Resource Center (40.9%), Learning Center (29.9%), EOPS/</w:t>
      </w:r>
      <w:proofErr w:type="spellStart"/>
      <w:r w:rsidRPr="00AD1260">
        <w:rPr>
          <w:szCs w:val="22"/>
        </w:rPr>
        <w:t>CARECalWORKS</w:t>
      </w:r>
      <w:proofErr w:type="spellEnd"/>
      <w:r w:rsidRPr="00AD1260">
        <w:rPr>
          <w:szCs w:val="22"/>
        </w:rPr>
        <w:t xml:space="preserve"> (28.0%), and </w:t>
      </w:r>
      <w:r>
        <w:rPr>
          <w:szCs w:val="22"/>
        </w:rPr>
        <w:t>d</w:t>
      </w:r>
      <w:r w:rsidRPr="00AD1260">
        <w:rPr>
          <w:szCs w:val="22"/>
        </w:rPr>
        <w:t xml:space="preserve">istance </w:t>
      </w:r>
      <w:r>
        <w:rPr>
          <w:szCs w:val="22"/>
        </w:rPr>
        <w:t>e</w:t>
      </w:r>
      <w:r w:rsidRPr="00AD1260">
        <w:rPr>
          <w:szCs w:val="22"/>
        </w:rPr>
        <w:t>ducation website or call desk (20.7%).</w:t>
      </w:r>
      <w:r>
        <w:rPr>
          <w:szCs w:val="22"/>
        </w:rPr>
        <w:br/>
      </w:r>
    </w:p>
    <w:p w14:paraId="600F9C34" w14:textId="77777777" w:rsidR="00372F7D" w:rsidRPr="00AD1260" w:rsidRDefault="00372F7D" w:rsidP="00372F7D">
      <w:pPr>
        <w:pStyle w:val="ListParagraph"/>
        <w:numPr>
          <w:ilvl w:val="0"/>
          <w:numId w:val="42"/>
        </w:numPr>
        <w:spacing w:after="0"/>
        <w:rPr>
          <w:szCs w:val="22"/>
        </w:rPr>
      </w:pPr>
      <w:r w:rsidRPr="00AD1260">
        <w:rPr>
          <w:szCs w:val="22"/>
        </w:rPr>
        <w:t xml:space="preserve">For the 45.3% of students who indicate they have obstacles outside of Taft College affecting their success, the most frequently cited challenges </w:t>
      </w:r>
      <w:r>
        <w:rPr>
          <w:szCs w:val="22"/>
        </w:rPr>
        <w:t>were:</w:t>
      </w:r>
      <w:r w:rsidRPr="00AD1260">
        <w:rPr>
          <w:szCs w:val="22"/>
        </w:rPr>
        <w:t xml:space="preserve"> </w:t>
      </w:r>
      <w:r>
        <w:rPr>
          <w:szCs w:val="22"/>
        </w:rPr>
        <w:t>m</w:t>
      </w:r>
      <w:r w:rsidRPr="00AD1260">
        <w:rPr>
          <w:szCs w:val="22"/>
        </w:rPr>
        <w:t xml:space="preserve">ental health issues (44.9%), </w:t>
      </w:r>
      <w:r>
        <w:rPr>
          <w:szCs w:val="22"/>
        </w:rPr>
        <w:t>t</w:t>
      </w:r>
      <w:r w:rsidRPr="00AD1260">
        <w:rPr>
          <w:szCs w:val="22"/>
        </w:rPr>
        <w:t xml:space="preserve">ransportation (42.2%), </w:t>
      </w:r>
      <w:r>
        <w:rPr>
          <w:szCs w:val="22"/>
        </w:rPr>
        <w:t>u</w:t>
      </w:r>
      <w:r w:rsidRPr="00AD1260">
        <w:rPr>
          <w:szCs w:val="22"/>
        </w:rPr>
        <w:t xml:space="preserve">nemployment (36.8%), </w:t>
      </w:r>
      <w:r>
        <w:rPr>
          <w:szCs w:val="22"/>
        </w:rPr>
        <w:t>f</w:t>
      </w:r>
      <w:r w:rsidRPr="00AD1260">
        <w:rPr>
          <w:szCs w:val="22"/>
        </w:rPr>
        <w:t xml:space="preserve">ood (28.7%), and </w:t>
      </w:r>
      <w:r>
        <w:rPr>
          <w:szCs w:val="22"/>
        </w:rPr>
        <w:t>h</w:t>
      </w:r>
      <w:r w:rsidRPr="00AD1260">
        <w:rPr>
          <w:szCs w:val="22"/>
        </w:rPr>
        <w:t>ousing (27.0%).</w:t>
      </w:r>
      <w:r>
        <w:rPr>
          <w:szCs w:val="22"/>
        </w:rPr>
        <w:br/>
      </w:r>
    </w:p>
    <w:p w14:paraId="51E86569" w14:textId="77777777" w:rsidR="00372F7D" w:rsidRPr="00AD1260" w:rsidRDefault="00372F7D" w:rsidP="00372F7D">
      <w:pPr>
        <w:pStyle w:val="ListParagraph"/>
        <w:numPr>
          <w:ilvl w:val="0"/>
          <w:numId w:val="42"/>
        </w:numPr>
        <w:spacing w:after="0"/>
        <w:rPr>
          <w:szCs w:val="22"/>
        </w:rPr>
      </w:pPr>
      <w:r w:rsidRPr="00AD1260">
        <w:rPr>
          <w:szCs w:val="22"/>
        </w:rPr>
        <w:t>Over three</w:t>
      </w:r>
      <w:r>
        <w:rPr>
          <w:szCs w:val="22"/>
        </w:rPr>
        <w:t>-</w:t>
      </w:r>
      <w:r w:rsidRPr="00AD1260">
        <w:rPr>
          <w:szCs w:val="22"/>
        </w:rPr>
        <w:t>quarters of Taft College students (79.5%) report being on track to complete their educational goal within two years, 85.5% report having met with a counselor to build an educational plan, and 87.4% report having completed a Taft College orientation.</w:t>
      </w:r>
      <w:r>
        <w:rPr>
          <w:szCs w:val="22"/>
        </w:rPr>
        <w:br/>
      </w:r>
    </w:p>
    <w:p w14:paraId="5B8743E9" w14:textId="77777777" w:rsidR="00372F7D" w:rsidRPr="00AD1260" w:rsidRDefault="00372F7D" w:rsidP="00372F7D">
      <w:pPr>
        <w:pStyle w:val="ListParagraph"/>
        <w:numPr>
          <w:ilvl w:val="0"/>
          <w:numId w:val="42"/>
        </w:numPr>
        <w:spacing w:after="0"/>
        <w:rPr>
          <w:szCs w:val="22"/>
        </w:rPr>
      </w:pPr>
      <w:r w:rsidRPr="00AD1260">
        <w:rPr>
          <w:szCs w:val="22"/>
        </w:rPr>
        <w:t>Over one-fifth (22.3%) of students indicate they have been unable to get into a Taft College class required for their degree, with the most common reasons being</w:t>
      </w:r>
      <w:r>
        <w:rPr>
          <w:szCs w:val="22"/>
        </w:rPr>
        <w:t>:</w:t>
      </w:r>
      <w:r w:rsidRPr="00AD1260">
        <w:rPr>
          <w:szCs w:val="22"/>
        </w:rPr>
        <w:t xml:space="preserve"> </w:t>
      </w:r>
      <w:r>
        <w:rPr>
          <w:szCs w:val="22"/>
        </w:rPr>
        <w:t>c</w:t>
      </w:r>
      <w:r w:rsidRPr="00AD1260">
        <w:rPr>
          <w:szCs w:val="22"/>
        </w:rPr>
        <w:t xml:space="preserve">lasses were full before my priority registration (47.5%), </w:t>
      </w:r>
      <w:r>
        <w:rPr>
          <w:szCs w:val="22"/>
        </w:rPr>
        <w:t>c</w:t>
      </w:r>
      <w:r w:rsidRPr="00AD1260">
        <w:rPr>
          <w:szCs w:val="22"/>
        </w:rPr>
        <w:t xml:space="preserve">lass time did not fit my schedule (36.9%), </w:t>
      </w:r>
      <w:r>
        <w:rPr>
          <w:szCs w:val="22"/>
        </w:rPr>
        <w:t>c</w:t>
      </w:r>
      <w:r w:rsidRPr="00AD1260">
        <w:rPr>
          <w:szCs w:val="22"/>
        </w:rPr>
        <w:t xml:space="preserve">lasses were not offered (27.9%), and </w:t>
      </w:r>
      <w:r>
        <w:rPr>
          <w:szCs w:val="22"/>
        </w:rPr>
        <w:t>c</w:t>
      </w:r>
      <w:r w:rsidRPr="00AD1260">
        <w:rPr>
          <w:szCs w:val="22"/>
        </w:rPr>
        <w:t>lass time conflicted with another class (21.3%).</w:t>
      </w:r>
      <w:r>
        <w:rPr>
          <w:szCs w:val="22"/>
        </w:rPr>
        <w:br/>
      </w:r>
    </w:p>
    <w:p w14:paraId="6F452885" w14:textId="77777777" w:rsidR="00372F7D" w:rsidRPr="00AD1260" w:rsidRDefault="00372F7D" w:rsidP="00372F7D">
      <w:pPr>
        <w:pStyle w:val="ListParagraph"/>
        <w:numPr>
          <w:ilvl w:val="0"/>
          <w:numId w:val="42"/>
        </w:numPr>
        <w:spacing w:after="0"/>
        <w:rPr>
          <w:szCs w:val="22"/>
        </w:rPr>
      </w:pPr>
      <w:r w:rsidRPr="00AD1260">
        <w:rPr>
          <w:szCs w:val="22"/>
        </w:rPr>
        <w:t>Nearly one-eighth (11.8%) of Taft College students report having to take classes at another college because Taft College did not offer what they needed. </w:t>
      </w:r>
      <w:r>
        <w:rPr>
          <w:szCs w:val="22"/>
        </w:rPr>
        <w:br/>
      </w:r>
    </w:p>
    <w:p w14:paraId="4B305F37" w14:textId="77777777" w:rsidR="00372F7D" w:rsidRPr="00AD1260" w:rsidRDefault="00372F7D" w:rsidP="00372F7D">
      <w:pPr>
        <w:pStyle w:val="ListParagraph"/>
        <w:numPr>
          <w:ilvl w:val="0"/>
          <w:numId w:val="42"/>
        </w:numPr>
        <w:spacing w:after="0"/>
        <w:rPr>
          <w:szCs w:val="22"/>
        </w:rPr>
      </w:pPr>
      <w:r w:rsidRPr="00AD1260">
        <w:rPr>
          <w:szCs w:val="22"/>
        </w:rPr>
        <w:lastRenderedPageBreak/>
        <w:t xml:space="preserve">Over half (54.5%) of Taft College students </w:t>
      </w:r>
      <w:proofErr w:type="gramStart"/>
      <w:r w:rsidRPr="00AD1260">
        <w:rPr>
          <w:szCs w:val="22"/>
        </w:rPr>
        <w:t>report preferring</w:t>
      </w:r>
      <w:proofErr w:type="gramEnd"/>
      <w:r w:rsidRPr="00AD1260">
        <w:rPr>
          <w:szCs w:val="22"/>
        </w:rPr>
        <w:t xml:space="preserve"> </w:t>
      </w:r>
      <w:r>
        <w:rPr>
          <w:szCs w:val="22"/>
        </w:rPr>
        <w:t>f</w:t>
      </w:r>
      <w:r w:rsidRPr="00AD1260">
        <w:rPr>
          <w:szCs w:val="22"/>
        </w:rPr>
        <w:t>ace-to-</w:t>
      </w:r>
      <w:r>
        <w:rPr>
          <w:szCs w:val="22"/>
        </w:rPr>
        <w:t>f</w:t>
      </w:r>
      <w:r w:rsidRPr="00AD1260">
        <w:rPr>
          <w:szCs w:val="22"/>
        </w:rPr>
        <w:t>ace courses, and nearly three quarters (73.2%) prefer online courses, which sounds contradictory, but of those students preferring online, 22.0% prefer hybrid (the class has both in-person and online hours). </w:t>
      </w:r>
    </w:p>
    <w:p w14:paraId="19C1A636" w14:textId="77777777" w:rsidR="00372F7D" w:rsidRPr="007D2B75" w:rsidRDefault="00372F7D" w:rsidP="00F7576A">
      <w:pPr>
        <w:pStyle w:val="Heading2"/>
      </w:pPr>
      <w:bookmarkStart w:id="300" w:name="_Toc194931276"/>
      <w:bookmarkStart w:id="301" w:name="_Toc194931601"/>
      <w:r>
        <w:t>Listening Sessions and Emergent Themes</w:t>
      </w:r>
      <w:bookmarkEnd w:id="300"/>
      <w:bookmarkEnd w:id="301"/>
    </w:p>
    <w:p w14:paraId="3512284E" w14:textId="77777777" w:rsidR="00372F7D" w:rsidRPr="003627E7" w:rsidRDefault="00372F7D" w:rsidP="00F16EFC">
      <w:bookmarkStart w:id="302" w:name="_Toc98404276"/>
      <w:bookmarkStart w:id="303" w:name="_Toc98450689"/>
      <w:bookmarkStart w:id="304" w:name="_Toc99899946"/>
      <w:r w:rsidRPr="003627E7">
        <w:t>Introduction</w:t>
      </w:r>
      <w:bookmarkEnd w:id="302"/>
      <w:bookmarkEnd w:id="303"/>
      <w:bookmarkEnd w:id="304"/>
    </w:p>
    <w:p w14:paraId="14A10524" w14:textId="77777777" w:rsidR="00372F7D" w:rsidRPr="003627E7" w:rsidRDefault="00372F7D" w:rsidP="00372F7D">
      <w:r w:rsidRPr="003627E7">
        <w:t xml:space="preserve">During the Discovery Phase, </w:t>
      </w:r>
      <w:r>
        <w:t>listening sessions</w:t>
      </w:r>
      <w:r w:rsidRPr="003627E7">
        <w:t xml:space="preserve"> </w:t>
      </w:r>
      <w:r>
        <w:t xml:space="preserve">were held </w:t>
      </w:r>
      <w:r w:rsidRPr="003627E7">
        <w:t>with individuals and groups of internal and external stakeholders of</w:t>
      </w:r>
      <w:r>
        <w:t xml:space="preserve"> Taft</w:t>
      </w:r>
      <w:r w:rsidRPr="003627E7">
        <w:t xml:space="preserve"> College</w:t>
      </w:r>
      <w:r>
        <w:t>, including students</w:t>
      </w:r>
      <w:r w:rsidRPr="003627E7">
        <w:t xml:space="preserve">. </w:t>
      </w:r>
      <w:r>
        <w:t>P</w:t>
      </w:r>
      <w:r w:rsidRPr="004A4807">
        <w:t>articipa</w:t>
      </w:r>
      <w:r>
        <w:t>nts</w:t>
      </w:r>
      <w:r w:rsidRPr="004A4807">
        <w:t xml:space="preserve"> provided a great deal of perspective regarding </w:t>
      </w:r>
      <w:r>
        <w:t>the College’s</w:t>
      </w:r>
      <w:r w:rsidRPr="004A4807">
        <w:t xml:space="preserve"> future. A</w:t>
      </w:r>
      <w:r w:rsidRPr="003627E7">
        <w:t xml:space="preserve"> summary of these sessions is provided below. </w:t>
      </w:r>
    </w:p>
    <w:p w14:paraId="004EF087" w14:textId="77777777" w:rsidR="00372F7D" w:rsidRPr="003627E7" w:rsidRDefault="00372F7D" w:rsidP="00372F7D"/>
    <w:tbl>
      <w:tblPr>
        <w:tblStyle w:val="TableGrid"/>
        <w:tblW w:w="0" w:type="auto"/>
        <w:tblInd w:w="265" w:type="dxa"/>
        <w:tblLook w:val="04A0" w:firstRow="1" w:lastRow="0" w:firstColumn="1" w:lastColumn="0" w:noHBand="0" w:noVBand="1"/>
      </w:tblPr>
      <w:tblGrid>
        <w:gridCol w:w="1440"/>
        <w:gridCol w:w="2700"/>
        <w:gridCol w:w="2610"/>
        <w:gridCol w:w="1095"/>
        <w:gridCol w:w="1240"/>
      </w:tblGrid>
      <w:tr w:rsidR="00372F7D" w:rsidRPr="003627E7" w14:paraId="6CBE3B32" w14:textId="77777777" w:rsidTr="00412B85">
        <w:trPr>
          <w:trHeight w:val="432"/>
        </w:trPr>
        <w:tc>
          <w:tcPr>
            <w:tcW w:w="9085" w:type="dxa"/>
            <w:gridSpan w:val="5"/>
            <w:shd w:val="clear" w:color="auto" w:fill="E2EFD9" w:themeFill="accent6" w:themeFillTint="33"/>
            <w:vAlign w:val="center"/>
          </w:tcPr>
          <w:p w14:paraId="6F6E123A" w14:textId="77777777" w:rsidR="00372F7D" w:rsidRPr="003627E7" w:rsidRDefault="00372F7D" w:rsidP="00412B85">
            <w:pPr>
              <w:spacing w:after="0"/>
              <w:jc w:val="center"/>
              <w:rPr>
                <w:b/>
                <w:bCs/>
                <w:sz w:val="16"/>
                <w:szCs w:val="16"/>
              </w:rPr>
            </w:pPr>
            <w:r w:rsidRPr="0081107B">
              <w:rPr>
                <w:b/>
                <w:bCs/>
                <w:sz w:val="16"/>
                <w:szCs w:val="16"/>
              </w:rPr>
              <w:t>INTERNAL STAKEHOLDER LISTENING SESSIONS</w:t>
            </w:r>
          </w:p>
        </w:tc>
      </w:tr>
      <w:tr w:rsidR="00372F7D" w:rsidRPr="003627E7" w14:paraId="1FC21788" w14:textId="77777777" w:rsidTr="00412B85">
        <w:trPr>
          <w:trHeight w:val="432"/>
        </w:trPr>
        <w:tc>
          <w:tcPr>
            <w:tcW w:w="1440" w:type="dxa"/>
            <w:shd w:val="clear" w:color="auto" w:fill="E2EFD9" w:themeFill="accent6" w:themeFillTint="33"/>
            <w:vAlign w:val="center"/>
          </w:tcPr>
          <w:p w14:paraId="58F1EC9E" w14:textId="77777777" w:rsidR="00372F7D" w:rsidRPr="003627E7" w:rsidRDefault="00372F7D" w:rsidP="00412B85">
            <w:pPr>
              <w:spacing w:after="0"/>
              <w:rPr>
                <w:b/>
                <w:bCs/>
                <w:sz w:val="16"/>
                <w:szCs w:val="16"/>
              </w:rPr>
            </w:pPr>
            <w:r w:rsidRPr="003627E7">
              <w:rPr>
                <w:b/>
                <w:bCs/>
                <w:sz w:val="16"/>
                <w:szCs w:val="16"/>
              </w:rPr>
              <w:t>Session</w:t>
            </w:r>
          </w:p>
          <w:p w14:paraId="540F4230" w14:textId="77777777" w:rsidR="00372F7D" w:rsidRPr="003627E7" w:rsidRDefault="00372F7D" w:rsidP="00412B85">
            <w:pPr>
              <w:spacing w:after="0"/>
              <w:rPr>
                <w:b/>
                <w:bCs/>
                <w:sz w:val="16"/>
                <w:szCs w:val="16"/>
              </w:rPr>
            </w:pPr>
            <w:r w:rsidRPr="003627E7">
              <w:rPr>
                <w:b/>
                <w:bCs/>
                <w:sz w:val="16"/>
                <w:szCs w:val="16"/>
              </w:rPr>
              <w:t>Categories</w:t>
            </w:r>
          </w:p>
        </w:tc>
        <w:tc>
          <w:tcPr>
            <w:tcW w:w="5310" w:type="dxa"/>
            <w:gridSpan w:val="2"/>
            <w:shd w:val="clear" w:color="auto" w:fill="E2EFD9" w:themeFill="accent6" w:themeFillTint="33"/>
            <w:vAlign w:val="center"/>
          </w:tcPr>
          <w:p w14:paraId="686B0EA4" w14:textId="77777777" w:rsidR="00372F7D" w:rsidRPr="003627E7" w:rsidRDefault="00372F7D" w:rsidP="00412B85">
            <w:pPr>
              <w:spacing w:after="0"/>
              <w:rPr>
                <w:b/>
                <w:bCs/>
                <w:sz w:val="16"/>
                <w:szCs w:val="16"/>
              </w:rPr>
            </w:pPr>
            <w:r w:rsidRPr="003627E7">
              <w:rPr>
                <w:b/>
                <w:bCs/>
                <w:sz w:val="16"/>
                <w:szCs w:val="16"/>
              </w:rPr>
              <w:t>Individuals and Groups</w:t>
            </w:r>
          </w:p>
        </w:tc>
        <w:tc>
          <w:tcPr>
            <w:tcW w:w="1095" w:type="dxa"/>
            <w:shd w:val="clear" w:color="auto" w:fill="E2EFD9" w:themeFill="accent6" w:themeFillTint="33"/>
            <w:vAlign w:val="center"/>
          </w:tcPr>
          <w:p w14:paraId="6E1D964C" w14:textId="77777777" w:rsidR="00372F7D" w:rsidRPr="003627E7" w:rsidRDefault="00372F7D" w:rsidP="00412B85">
            <w:pPr>
              <w:spacing w:after="0"/>
              <w:rPr>
                <w:b/>
                <w:bCs/>
                <w:sz w:val="16"/>
                <w:szCs w:val="16"/>
              </w:rPr>
            </w:pPr>
            <w:r w:rsidRPr="003627E7">
              <w:rPr>
                <w:b/>
                <w:bCs/>
                <w:sz w:val="16"/>
                <w:szCs w:val="16"/>
              </w:rPr>
              <w:t># Sessions</w:t>
            </w:r>
          </w:p>
          <w:p w14:paraId="001BD0F5" w14:textId="77777777" w:rsidR="00372F7D" w:rsidRPr="003627E7" w:rsidRDefault="00372F7D" w:rsidP="00412B85">
            <w:pPr>
              <w:spacing w:after="0"/>
              <w:rPr>
                <w:b/>
                <w:bCs/>
                <w:sz w:val="16"/>
                <w:szCs w:val="16"/>
              </w:rPr>
            </w:pPr>
          </w:p>
        </w:tc>
        <w:tc>
          <w:tcPr>
            <w:tcW w:w="1240" w:type="dxa"/>
            <w:shd w:val="clear" w:color="auto" w:fill="E2EFD9" w:themeFill="accent6" w:themeFillTint="33"/>
            <w:vAlign w:val="center"/>
          </w:tcPr>
          <w:p w14:paraId="462BF77C" w14:textId="77777777" w:rsidR="00372F7D" w:rsidRPr="003627E7" w:rsidRDefault="00372F7D" w:rsidP="00412B85">
            <w:pPr>
              <w:spacing w:after="0"/>
              <w:rPr>
                <w:b/>
                <w:bCs/>
                <w:sz w:val="16"/>
                <w:szCs w:val="16"/>
              </w:rPr>
            </w:pPr>
            <w:r w:rsidRPr="003627E7">
              <w:rPr>
                <w:b/>
                <w:bCs/>
                <w:sz w:val="16"/>
                <w:szCs w:val="16"/>
              </w:rPr>
              <w:t>Approx. # Participants</w:t>
            </w:r>
          </w:p>
        </w:tc>
      </w:tr>
      <w:tr w:rsidR="00372F7D" w:rsidRPr="003627E7" w14:paraId="11F31F13" w14:textId="77777777" w:rsidTr="00412B85">
        <w:trPr>
          <w:trHeight w:val="432"/>
        </w:trPr>
        <w:tc>
          <w:tcPr>
            <w:tcW w:w="1440" w:type="dxa"/>
            <w:shd w:val="clear" w:color="auto" w:fill="auto"/>
            <w:vAlign w:val="center"/>
          </w:tcPr>
          <w:p w14:paraId="740D8934" w14:textId="77777777" w:rsidR="00372F7D" w:rsidRPr="00263AF3" w:rsidRDefault="00372F7D" w:rsidP="00412B85">
            <w:pPr>
              <w:spacing w:after="0"/>
              <w:rPr>
                <w:sz w:val="16"/>
                <w:szCs w:val="16"/>
              </w:rPr>
            </w:pPr>
            <w:r>
              <w:rPr>
                <w:sz w:val="16"/>
                <w:szCs w:val="16"/>
              </w:rPr>
              <w:t>T</w:t>
            </w:r>
            <w:r w:rsidRPr="00263AF3">
              <w:rPr>
                <w:sz w:val="16"/>
                <w:szCs w:val="16"/>
              </w:rPr>
              <w:t>C Internal Stakeholders</w:t>
            </w:r>
          </w:p>
          <w:p w14:paraId="46559710" w14:textId="77777777" w:rsidR="00372F7D" w:rsidRPr="00263AF3" w:rsidRDefault="00372F7D" w:rsidP="00412B85">
            <w:pPr>
              <w:spacing w:after="0"/>
              <w:rPr>
                <w:sz w:val="16"/>
                <w:szCs w:val="16"/>
              </w:rPr>
            </w:pPr>
          </w:p>
        </w:tc>
        <w:tc>
          <w:tcPr>
            <w:tcW w:w="2700" w:type="dxa"/>
            <w:shd w:val="clear" w:color="auto" w:fill="auto"/>
            <w:vAlign w:val="center"/>
          </w:tcPr>
          <w:p w14:paraId="5C910E5D" w14:textId="77777777" w:rsidR="00372F7D" w:rsidRDefault="00372F7D" w:rsidP="00412B85">
            <w:pPr>
              <w:numPr>
                <w:ilvl w:val="0"/>
                <w:numId w:val="1"/>
              </w:numPr>
              <w:spacing w:after="0"/>
              <w:ind w:left="165" w:hanging="165"/>
              <w:rPr>
                <w:sz w:val="16"/>
                <w:szCs w:val="16"/>
              </w:rPr>
            </w:pPr>
            <w:r>
              <w:rPr>
                <w:sz w:val="16"/>
                <w:szCs w:val="16"/>
              </w:rPr>
              <w:t xml:space="preserve">President and Cabinet Members </w:t>
            </w:r>
          </w:p>
          <w:p w14:paraId="43E0DF8D" w14:textId="77777777" w:rsidR="00372F7D" w:rsidRDefault="00372F7D" w:rsidP="00412B85">
            <w:pPr>
              <w:numPr>
                <w:ilvl w:val="0"/>
                <w:numId w:val="1"/>
              </w:numPr>
              <w:spacing w:after="0"/>
              <w:ind w:left="165" w:hanging="165"/>
              <w:rPr>
                <w:sz w:val="16"/>
                <w:szCs w:val="16"/>
              </w:rPr>
            </w:pPr>
            <w:r>
              <w:rPr>
                <w:sz w:val="16"/>
                <w:szCs w:val="16"/>
              </w:rPr>
              <w:t xml:space="preserve">Administrative Services </w:t>
            </w:r>
          </w:p>
          <w:p w14:paraId="24ECEEEE" w14:textId="77777777" w:rsidR="00372F7D" w:rsidRDefault="00372F7D" w:rsidP="00412B85">
            <w:pPr>
              <w:numPr>
                <w:ilvl w:val="0"/>
                <w:numId w:val="1"/>
              </w:numPr>
              <w:spacing w:after="0"/>
              <w:ind w:left="165" w:hanging="165"/>
              <w:rPr>
                <w:sz w:val="16"/>
                <w:szCs w:val="16"/>
              </w:rPr>
            </w:pPr>
            <w:r>
              <w:rPr>
                <w:sz w:val="16"/>
                <w:szCs w:val="16"/>
              </w:rPr>
              <w:t xml:space="preserve">Instruction and Library Services </w:t>
            </w:r>
          </w:p>
          <w:p w14:paraId="3096D79C" w14:textId="77777777" w:rsidR="00372F7D" w:rsidRDefault="00372F7D" w:rsidP="00412B85">
            <w:pPr>
              <w:numPr>
                <w:ilvl w:val="0"/>
                <w:numId w:val="1"/>
              </w:numPr>
              <w:spacing w:after="0"/>
              <w:ind w:left="165" w:hanging="165"/>
              <w:rPr>
                <w:sz w:val="16"/>
                <w:szCs w:val="16"/>
              </w:rPr>
            </w:pPr>
            <w:r>
              <w:rPr>
                <w:sz w:val="16"/>
                <w:szCs w:val="16"/>
              </w:rPr>
              <w:t xml:space="preserve">Student Services </w:t>
            </w:r>
          </w:p>
          <w:p w14:paraId="25DA4986" w14:textId="77777777" w:rsidR="00372F7D" w:rsidRDefault="00372F7D" w:rsidP="00412B85">
            <w:pPr>
              <w:numPr>
                <w:ilvl w:val="0"/>
                <w:numId w:val="1"/>
              </w:numPr>
              <w:spacing w:after="0"/>
              <w:ind w:left="165" w:hanging="165"/>
              <w:rPr>
                <w:sz w:val="16"/>
                <w:szCs w:val="16"/>
              </w:rPr>
            </w:pPr>
            <w:r>
              <w:rPr>
                <w:sz w:val="16"/>
                <w:szCs w:val="16"/>
              </w:rPr>
              <w:t xml:space="preserve">HR and Campus Security </w:t>
            </w:r>
          </w:p>
          <w:p w14:paraId="424368F4" w14:textId="77777777" w:rsidR="00372F7D" w:rsidRDefault="00372F7D" w:rsidP="00412B85">
            <w:pPr>
              <w:numPr>
                <w:ilvl w:val="0"/>
                <w:numId w:val="1"/>
              </w:numPr>
              <w:spacing w:after="0"/>
              <w:ind w:left="165" w:hanging="165"/>
              <w:rPr>
                <w:sz w:val="16"/>
                <w:szCs w:val="16"/>
              </w:rPr>
            </w:pPr>
            <w:r>
              <w:rPr>
                <w:sz w:val="16"/>
                <w:szCs w:val="16"/>
              </w:rPr>
              <w:t xml:space="preserve">Cal School Employees Association (CSEA) </w:t>
            </w:r>
          </w:p>
          <w:p w14:paraId="2F1E3939" w14:textId="77777777" w:rsidR="00372F7D" w:rsidRDefault="00372F7D" w:rsidP="00412B85">
            <w:pPr>
              <w:numPr>
                <w:ilvl w:val="0"/>
                <w:numId w:val="1"/>
              </w:numPr>
              <w:spacing w:after="0"/>
              <w:ind w:left="165" w:hanging="165"/>
              <w:rPr>
                <w:sz w:val="16"/>
                <w:szCs w:val="16"/>
              </w:rPr>
            </w:pPr>
            <w:r>
              <w:rPr>
                <w:sz w:val="16"/>
                <w:szCs w:val="16"/>
              </w:rPr>
              <w:t xml:space="preserve">Academic Senate </w:t>
            </w:r>
          </w:p>
          <w:p w14:paraId="35861EB8" w14:textId="77777777" w:rsidR="00372F7D" w:rsidRPr="00B27648" w:rsidRDefault="00372F7D" w:rsidP="00412B85">
            <w:pPr>
              <w:numPr>
                <w:ilvl w:val="0"/>
                <w:numId w:val="1"/>
              </w:numPr>
              <w:spacing w:after="0"/>
              <w:ind w:left="165" w:hanging="165"/>
              <w:rPr>
                <w:sz w:val="16"/>
                <w:szCs w:val="16"/>
              </w:rPr>
            </w:pPr>
            <w:r>
              <w:rPr>
                <w:sz w:val="16"/>
                <w:szCs w:val="16"/>
              </w:rPr>
              <w:t xml:space="preserve">Governance Council (GC) </w:t>
            </w:r>
          </w:p>
        </w:tc>
        <w:tc>
          <w:tcPr>
            <w:tcW w:w="2610" w:type="dxa"/>
            <w:shd w:val="clear" w:color="auto" w:fill="auto"/>
            <w:vAlign w:val="center"/>
          </w:tcPr>
          <w:p w14:paraId="7555389B" w14:textId="77777777" w:rsidR="00372F7D" w:rsidRPr="0081107B" w:rsidRDefault="00372F7D" w:rsidP="00412B85">
            <w:pPr>
              <w:numPr>
                <w:ilvl w:val="0"/>
                <w:numId w:val="1"/>
              </w:numPr>
              <w:spacing w:after="0"/>
              <w:ind w:left="165" w:hanging="165"/>
              <w:rPr>
                <w:sz w:val="16"/>
                <w:szCs w:val="16"/>
              </w:rPr>
            </w:pPr>
            <w:r w:rsidRPr="0081107B">
              <w:rPr>
                <w:sz w:val="16"/>
                <w:szCs w:val="16"/>
              </w:rPr>
              <w:t>GC Subcommittee Representatives</w:t>
            </w:r>
            <w:r>
              <w:rPr>
                <w:sz w:val="16"/>
                <w:szCs w:val="16"/>
              </w:rPr>
              <w:t xml:space="preserve"> </w:t>
            </w:r>
          </w:p>
          <w:p w14:paraId="61698240" w14:textId="77777777" w:rsidR="00372F7D" w:rsidRPr="0081107B" w:rsidRDefault="00372F7D" w:rsidP="00412B85">
            <w:pPr>
              <w:numPr>
                <w:ilvl w:val="0"/>
                <w:numId w:val="1"/>
              </w:numPr>
              <w:spacing w:after="0"/>
              <w:ind w:left="165" w:hanging="165"/>
              <w:rPr>
                <w:sz w:val="16"/>
                <w:szCs w:val="16"/>
              </w:rPr>
            </w:pPr>
            <w:r w:rsidRPr="0081107B">
              <w:rPr>
                <w:sz w:val="16"/>
                <w:szCs w:val="16"/>
              </w:rPr>
              <w:t>Special Programs (e.g., CTE, MESA, Distance Ed, EOPS, DSPS)</w:t>
            </w:r>
            <w:r>
              <w:rPr>
                <w:sz w:val="16"/>
                <w:szCs w:val="16"/>
              </w:rPr>
              <w:t xml:space="preserve"> </w:t>
            </w:r>
          </w:p>
          <w:p w14:paraId="27B6B97A" w14:textId="77777777" w:rsidR="00372F7D" w:rsidRPr="0081107B" w:rsidRDefault="00372F7D" w:rsidP="00412B85">
            <w:pPr>
              <w:numPr>
                <w:ilvl w:val="0"/>
                <w:numId w:val="1"/>
              </w:numPr>
              <w:spacing w:after="0"/>
              <w:ind w:left="165" w:hanging="165"/>
              <w:rPr>
                <w:sz w:val="16"/>
                <w:szCs w:val="16"/>
              </w:rPr>
            </w:pPr>
            <w:r w:rsidRPr="0081107B">
              <w:rPr>
                <w:sz w:val="16"/>
                <w:szCs w:val="16"/>
              </w:rPr>
              <w:t xml:space="preserve">Transition to Independent Living, Athletics, Dental Hygiene, CDC, </w:t>
            </w:r>
            <w:r>
              <w:rPr>
                <w:sz w:val="16"/>
                <w:szCs w:val="16"/>
              </w:rPr>
              <w:t xml:space="preserve">WESTEC </w:t>
            </w:r>
          </w:p>
          <w:p w14:paraId="27F64A33" w14:textId="77777777" w:rsidR="00372F7D" w:rsidRPr="0081107B" w:rsidRDefault="00372F7D" w:rsidP="00412B85">
            <w:pPr>
              <w:numPr>
                <w:ilvl w:val="0"/>
                <w:numId w:val="1"/>
              </w:numPr>
              <w:spacing w:after="0"/>
              <w:ind w:left="165" w:hanging="165"/>
              <w:rPr>
                <w:sz w:val="16"/>
                <w:szCs w:val="16"/>
              </w:rPr>
            </w:pPr>
            <w:r>
              <w:rPr>
                <w:sz w:val="16"/>
                <w:szCs w:val="16"/>
              </w:rPr>
              <w:t xml:space="preserve">Two </w:t>
            </w:r>
            <w:r w:rsidRPr="0081107B">
              <w:rPr>
                <w:sz w:val="16"/>
                <w:szCs w:val="16"/>
              </w:rPr>
              <w:t xml:space="preserve">Open Sessions </w:t>
            </w:r>
          </w:p>
        </w:tc>
        <w:tc>
          <w:tcPr>
            <w:tcW w:w="1095" w:type="dxa"/>
            <w:shd w:val="clear" w:color="auto" w:fill="auto"/>
            <w:vAlign w:val="center"/>
          </w:tcPr>
          <w:p w14:paraId="2E8947F1" w14:textId="77777777" w:rsidR="00372F7D" w:rsidRDefault="00372F7D" w:rsidP="00412B85">
            <w:pPr>
              <w:spacing w:after="0"/>
              <w:jc w:val="center"/>
              <w:rPr>
                <w:sz w:val="16"/>
                <w:szCs w:val="16"/>
              </w:rPr>
            </w:pPr>
          </w:p>
          <w:p w14:paraId="6399B1FB" w14:textId="77777777" w:rsidR="00372F7D" w:rsidRDefault="00372F7D" w:rsidP="00412B85">
            <w:pPr>
              <w:spacing w:after="0"/>
              <w:jc w:val="center"/>
              <w:rPr>
                <w:sz w:val="16"/>
                <w:szCs w:val="16"/>
              </w:rPr>
            </w:pPr>
          </w:p>
          <w:p w14:paraId="1A4DC453" w14:textId="77777777" w:rsidR="00372F7D" w:rsidRDefault="00372F7D" w:rsidP="00412B85">
            <w:pPr>
              <w:spacing w:after="0"/>
              <w:jc w:val="center"/>
              <w:rPr>
                <w:sz w:val="16"/>
                <w:szCs w:val="16"/>
              </w:rPr>
            </w:pPr>
            <w:r>
              <w:rPr>
                <w:sz w:val="16"/>
                <w:szCs w:val="16"/>
              </w:rPr>
              <w:t>13</w:t>
            </w:r>
          </w:p>
          <w:p w14:paraId="34716B56" w14:textId="77777777" w:rsidR="00372F7D" w:rsidRDefault="00372F7D" w:rsidP="00412B85">
            <w:pPr>
              <w:spacing w:after="0"/>
              <w:rPr>
                <w:sz w:val="16"/>
                <w:szCs w:val="16"/>
              </w:rPr>
            </w:pPr>
          </w:p>
          <w:p w14:paraId="7E2F8B25" w14:textId="77777777" w:rsidR="00372F7D" w:rsidRPr="003627E7" w:rsidRDefault="00372F7D" w:rsidP="00412B85">
            <w:pPr>
              <w:spacing w:after="0"/>
              <w:rPr>
                <w:sz w:val="16"/>
                <w:szCs w:val="16"/>
              </w:rPr>
            </w:pPr>
          </w:p>
        </w:tc>
        <w:tc>
          <w:tcPr>
            <w:tcW w:w="1240" w:type="dxa"/>
            <w:shd w:val="clear" w:color="auto" w:fill="auto"/>
            <w:vAlign w:val="center"/>
          </w:tcPr>
          <w:p w14:paraId="00FA0088" w14:textId="77777777" w:rsidR="00372F7D" w:rsidRPr="00E158FF" w:rsidRDefault="00372F7D" w:rsidP="00412B85">
            <w:pPr>
              <w:spacing w:after="0"/>
              <w:jc w:val="center"/>
              <w:rPr>
                <w:sz w:val="16"/>
                <w:szCs w:val="16"/>
              </w:rPr>
            </w:pPr>
            <w:r>
              <w:rPr>
                <w:sz w:val="16"/>
                <w:szCs w:val="16"/>
              </w:rPr>
              <w:t>83</w:t>
            </w:r>
          </w:p>
        </w:tc>
      </w:tr>
      <w:tr w:rsidR="00372F7D" w:rsidRPr="003627E7" w14:paraId="7A111993" w14:textId="77777777" w:rsidTr="00412B85">
        <w:trPr>
          <w:trHeight w:val="432"/>
        </w:trPr>
        <w:tc>
          <w:tcPr>
            <w:tcW w:w="1440" w:type="dxa"/>
            <w:vAlign w:val="center"/>
          </w:tcPr>
          <w:p w14:paraId="36FBE230" w14:textId="77777777" w:rsidR="00372F7D" w:rsidRPr="00263AF3" w:rsidRDefault="00372F7D" w:rsidP="00412B85">
            <w:pPr>
              <w:spacing w:after="0"/>
              <w:rPr>
                <w:sz w:val="16"/>
                <w:szCs w:val="16"/>
              </w:rPr>
            </w:pPr>
            <w:r w:rsidRPr="00263AF3">
              <w:rPr>
                <w:sz w:val="16"/>
                <w:szCs w:val="16"/>
              </w:rPr>
              <w:t xml:space="preserve">Student groups </w:t>
            </w:r>
          </w:p>
        </w:tc>
        <w:tc>
          <w:tcPr>
            <w:tcW w:w="5310" w:type="dxa"/>
            <w:gridSpan w:val="2"/>
            <w:vAlign w:val="center"/>
          </w:tcPr>
          <w:p w14:paraId="782118F3" w14:textId="77777777" w:rsidR="00372F7D" w:rsidRPr="00B27648" w:rsidRDefault="00372F7D" w:rsidP="00412B85">
            <w:pPr>
              <w:numPr>
                <w:ilvl w:val="0"/>
                <w:numId w:val="1"/>
              </w:numPr>
              <w:spacing w:after="0"/>
              <w:ind w:left="165" w:hanging="165"/>
              <w:rPr>
                <w:sz w:val="16"/>
                <w:szCs w:val="16"/>
              </w:rPr>
            </w:pPr>
            <w:r>
              <w:rPr>
                <w:sz w:val="16"/>
                <w:szCs w:val="16"/>
              </w:rPr>
              <w:t xml:space="preserve">Associated Student Organization (ASO) </w:t>
            </w:r>
          </w:p>
        </w:tc>
        <w:tc>
          <w:tcPr>
            <w:tcW w:w="1095" w:type="dxa"/>
            <w:vAlign w:val="center"/>
          </w:tcPr>
          <w:p w14:paraId="28C70BC7" w14:textId="77777777" w:rsidR="00372F7D" w:rsidRPr="003627E7" w:rsidRDefault="00372F7D" w:rsidP="00412B85">
            <w:pPr>
              <w:spacing w:after="0"/>
              <w:jc w:val="center"/>
              <w:rPr>
                <w:sz w:val="16"/>
                <w:szCs w:val="16"/>
              </w:rPr>
            </w:pPr>
            <w:r>
              <w:rPr>
                <w:sz w:val="16"/>
                <w:szCs w:val="16"/>
              </w:rPr>
              <w:t>1</w:t>
            </w:r>
          </w:p>
        </w:tc>
        <w:tc>
          <w:tcPr>
            <w:tcW w:w="1240" w:type="dxa"/>
            <w:vAlign w:val="center"/>
          </w:tcPr>
          <w:p w14:paraId="771BA18A" w14:textId="77777777" w:rsidR="00372F7D" w:rsidRPr="00E158FF" w:rsidRDefault="00372F7D" w:rsidP="00412B85">
            <w:pPr>
              <w:spacing w:after="0"/>
              <w:jc w:val="center"/>
              <w:rPr>
                <w:sz w:val="16"/>
                <w:szCs w:val="16"/>
              </w:rPr>
            </w:pPr>
            <w:r w:rsidRPr="00E158FF">
              <w:rPr>
                <w:sz w:val="16"/>
                <w:szCs w:val="16"/>
              </w:rPr>
              <w:t>4</w:t>
            </w:r>
          </w:p>
        </w:tc>
      </w:tr>
      <w:tr w:rsidR="00372F7D" w:rsidRPr="003627E7" w14:paraId="2882D1A0" w14:textId="77777777" w:rsidTr="00412B85">
        <w:trPr>
          <w:trHeight w:val="432"/>
        </w:trPr>
        <w:tc>
          <w:tcPr>
            <w:tcW w:w="6750" w:type="dxa"/>
            <w:gridSpan w:val="3"/>
            <w:shd w:val="clear" w:color="auto" w:fill="E2EFD9" w:themeFill="accent6" w:themeFillTint="33"/>
            <w:vAlign w:val="center"/>
          </w:tcPr>
          <w:p w14:paraId="7D0F12B6" w14:textId="77777777" w:rsidR="00372F7D" w:rsidRPr="003627E7" w:rsidRDefault="00372F7D" w:rsidP="00412B85">
            <w:pPr>
              <w:spacing w:after="0"/>
              <w:rPr>
                <w:b/>
                <w:bCs/>
                <w:sz w:val="16"/>
                <w:szCs w:val="16"/>
              </w:rPr>
            </w:pPr>
            <w:r w:rsidRPr="003627E7">
              <w:rPr>
                <w:b/>
                <w:bCs/>
                <w:sz w:val="16"/>
                <w:szCs w:val="16"/>
              </w:rPr>
              <w:t>Total Number of Internal Listening Sessions and Participants</w:t>
            </w:r>
          </w:p>
        </w:tc>
        <w:tc>
          <w:tcPr>
            <w:tcW w:w="1095" w:type="dxa"/>
            <w:shd w:val="clear" w:color="auto" w:fill="E2EFD9" w:themeFill="accent6" w:themeFillTint="33"/>
            <w:vAlign w:val="center"/>
          </w:tcPr>
          <w:p w14:paraId="464DC920" w14:textId="77777777" w:rsidR="00372F7D" w:rsidRPr="003627E7" w:rsidRDefault="00372F7D" w:rsidP="00412B85">
            <w:pPr>
              <w:spacing w:after="0"/>
              <w:jc w:val="center"/>
              <w:rPr>
                <w:b/>
                <w:bCs/>
                <w:sz w:val="16"/>
                <w:szCs w:val="16"/>
              </w:rPr>
            </w:pPr>
            <w:r>
              <w:rPr>
                <w:b/>
                <w:bCs/>
                <w:sz w:val="16"/>
                <w:szCs w:val="16"/>
              </w:rPr>
              <w:t>14</w:t>
            </w:r>
          </w:p>
        </w:tc>
        <w:tc>
          <w:tcPr>
            <w:tcW w:w="1240" w:type="dxa"/>
            <w:shd w:val="clear" w:color="auto" w:fill="E2EFD9" w:themeFill="accent6" w:themeFillTint="33"/>
            <w:vAlign w:val="center"/>
          </w:tcPr>
          <w:p w14:paraId="3129B7F4" w14:textId="77777777" w:rsidR="00372F7D" w:rsidRPr="00E158FF" w:rsidRDefault="00372F7D" w:rsidP="00412B85">
            <w:pPr>
              <w:spacing w:after="0"/>
              <w:jc w:val="center"/>
              <w:rPr>
                <w:b/>
                <w:bCs/>
                <w:sz w:val="16"/>
                <w:szCs w:val="16"/>
              </w:rPr>
            </w:pPr>
            <w:r>
              <w:rPr>
                <w:b/>
                <w:bCs/>
                <w:sz w:val="16"/>
                <w:szCs w:val="16"/>
              </w:rPr>
              <w:t>87</w:t>
            </w:r>
          </w:p>
        </w:tc>
      </w:tr>
      <w:tr w:rsidR="00372F7D" w:rsidRPr="003627E7" w14:paraId="3EE7EC6C" w14:textId="77777777" w:rsidTr="00412B85">
        <w:trPr>
          <w:trHeight w:val="432"/>
        </w:trPr>
        <w:tc>
          <w:tcPr>
            <w:tcW w:w="9085" w:type="dxa"/>
            <w:gridSpan w:val="5"/>
            <w:shd w:val="clear" w:color="auto" w:fill="E2EFD9" w:themeFill="accent6" w:themeFillTint="33"/>
            <w:vAlign w:val="center"/>
          </w:tcPr>
          <w:p w14:paraId="3DB0B3A1" w14:textId="77777777" w:rsidR="00372F7D" w:rsidRPr="003627E7" w:rsidRDefault="00372F7D" w:rsidP="00412B85">
            <w:pPr>
              <w:spacing w:after="0"/>
              <w:jc w:val="center"/>
              <w:rPr>
                <w:b/>
                <w:bCs/>
                <w:sz w:val="16"/>
                <w:szCs w:val="16"/>
              </w:rPr>
            </w:pPr>
            <w:r w:rsidRPr="00885A73">
              <w:rPr>
                <w:b/>
                <w:bCs/>
                <w:sz w:val="16"/>
                <w:szCs w:val="16"/>
              </w:rPr>
              <w:t>EXTERNAL STAKEHOLDER LISTENING SESSIONS</w:t>
            </w:r>
          </w:p>
        </w:tc>
      </w:tr>
      <w:tr w:rsidR="00372F7D" w:rsidRPr="003627E7" w14:paraId="6E980FF3" w14:textId="77777777" w:rsidTr="00412B85">
        <w:trPr>
          <w:trHeight w:val="432"/>
        </w:trPr>
        <w:tc>
          <w:tcPr>
            <w:tcW w:w="1440" w:type="dxa"/>
            <w:shd w:val="clear" w:color="auto" w:fill="E2EFD9" w:themeFill="accent6" w:themeFillTint="33"/>
            <w:vAlign w:val="center"/>
          </w:tcPr>
          <w:p w14:paraId="6265C945" w14:textId="77777777" w:rsidR="00372F7D" w:rsidRPr="003627E7" w:rsidRDefault="00372F7D" w:rsidP="00412B85">
            <w:pPr>
              <w:spacing w:after="0"/>
              <w:rPr>
                <w:b/>
                <w:bCs/>
                <w:sz w:val="16"/>
                <w:szCs w:val="16"/>
              </w:rPr>
            </w:pPr>
            <w:r w:rsidRPr="003627E7">
              <w:rPr>
                <w:b/>
                <w:bCs/>
                <w:sz w:val="16"/>
                <w:szCs w:val="16"/>
              </w:rPr>
              <w:t>Session</w:t>
            </w:r>
          </w:p>
          <w:p w14:paraId="75E73454" w14:textId="77777777" w:rsidR="00372F7D" w:rsidRPr="003627E7" w:rsidRDefault="00372F7D" w:rsidP="00412B85">
            <w:pPr>
              <w:spacing w:after="0"/>
              <w:rPr>
                <w:b/>
                <w:bCs/>
                <w:sz w:val="16"/>
                <w:szCs w:val="16"/>
              </w:rPr>
            </w:pPr>
            <w:r w:rsidRPr="003627E7">
              <w:rPr>
                <w:b/>
                <w:bCs/>
                <w:sz w:val="16"/>
                <w:szCs w:val="16"/>
              </w:rPr>
              <w:t>Categories</w:t>
            </w:r>
          </w:p>
        </w:tc>
        <w:tc>
          <w:tcPr>
            <w:tcW w:w="5310" w:type="dxa"/>
            <w:gridSpan w:val="2"/>
            <w:shd w:val="clear" w:color="auto" w:fill="E2EFD9" w:themeFill="accent6" w:themeFillTint="33"/>
            <w:vAlign w:val="center"/>
          </w:tcPr>
          <w:p w14:paraId="41CF79AB" w14:textId="77777777" w:rsidR="00372F7D" w:rsidRPr="003627E7" w:rsidRDefault="00372F7D" w:rsidP="00412B85">
            <w:pPr>
              <w:spacing w:after="0"/>
              <w:rPr>
                <w:b/>
                <w:bCs/>
                <w:sz w:val="16"/>
                <w:szCs w:val="16"/>
              </w:rPr>
            </w:pPr>
            <w:r w:rsidRPr="003627E7">
              <w:rPr>
                <w:b/>
                <w:bCs/>
                <w:sz w:val="16"/>
                <w:szCs w:val="16"/>
              </w:rPr>
              <w:t>Individuals and Groups</w:t>
            </w:r>
          </w:p>
        </w:tc>
        <w:tc>
          <w:tcPr>
            <w:tcW w:w="1095" w:type="dxa"/>
            <w:shd w:val="clear" w:color="auto" w:fill="E2EFD9" w:themeFill="accent6" w:themeFillTint="33"/>
            <w:vAlign w:val="center"/>
          </w:tcPr>
          <w:p w14:paraId="4F7B7867" w14:textId="77777777" w:rsidR="00372F7D" w:rsidRPr="003627E7" w:rsidRDefault="00372F7D" w:rsidP="00412B85">
            <w:pPr>
              <w:spacing w:after="0"/>
              <w:rPr>
                <w:b/>
                <w:bCs/>
                <w:sz w:val="16"/>
                <w:szCs w:val="16"/>
              </w:rPr>
            </w:pPr>
            <w:r w:rsidRPr="003627E7">
              <w:rPr>
                <w:b/>
                <w:bCs/>
                <w:sz w:val="16"/>
                <w:szCs w:val="16"/>
              </w:rPr>
              <w:t># Sessions</w:t>
            </w:r>
          </w:p>
          <w:p w14:paraId="4EC6D4BE" w14:textId="77777777" w:rsidR="00372F7D" w:rsidRPr="003627E7" w:rsidRDefault="00372F7D" w:rsidP="00412B85">
            <w:pPr>
              <w:spacing w:after="0"/>
              <w:rPr>
                <w:b/>
                <w:bCs/>
                <w:sz w:val="16"/>
                <w:szCs w:val="16"/>
              </w:rPr>
            </w:pPr>
          </w:p>
        </w:tc>
        <w:tc>
          <w:tcPr>
            <w:tcW w:w="1240" w:type="dxa"/>
            <w:shd w:val="clear" w:color="auto" w:fill="E2EFD9" w:themeFill="accent6" w:themeFillTint="33"/>
            <w:vAlign w:val="center"/>
          </w:tcPr>
          <w:p w14:paraId="3CDC683F" w14:textId="77777777" w:rsidR="00372F7D" w:rsidRPr="003627E7" w:rsidRDefault="00372F7D" w:rsidP="00412B85">
            <w:pPr>
              <w:spacing w:after="0"/>
              <w:rPr>
                <w:b/>
                <w:bCs/>
                <w:sz w:val="16"/>
                <w:szCs w:val="16"/>
              </w:rPr>
            </w:pPr>
            <w:r w:rsidRPr="003627E7">
              <w:rPr>
                <w:b/>
                <w:bCs/>
                <w:sz w:val="16"/>
                <w:szCs w:val="16"/>
              </w:rPr>
              <w:t>Approx. # Participants</w:t>
            </w:r>
          </w:p>
        </w:tc>
      </w:tr>
      <w:tr w:rsidR="00372F7D" w:rsidRPr="003627E7" w14:paraId="6ED687F0" w14:textId="77777777" w:rsidTr="00412B85">
        <w:trPr>
          <w:trHeight w:val="432"/>
        </w:trPr>
        <w:tc>
          <w:tcPr>
            <w:tcW w:w="1440" w:type="dxa"/>
            <w:vAlign w:val="center"/>
          </w:tcPr>
          <w:p w14:paraId="5AA8E007" w14:textId="77777777" w:rsidR="00372F7D" w:rsidRPr="003627E7" w:rsidRDefault="00372F7D" w:rsidP="00412B85">
            <w:pPr>
              <w:spacing w:after="0"/>
              <w:rPr>
                <w:sz w:val="16"/>
                <w:szCs w:val="16"/>
              </w:rPr>
            </w:pPr>
            <w:r w:rsidRPr="003627E7">
              <w:rPr>
                <w:sz w:val="16"/>
                <w:szCs w:val="16"/>
              </w:rPr>
              <w:t>Foundation</w:t>
            </w:r>
            <w:r>
              <w:rPr>
                <w:sz w:val="16"/>
                <w:szCs w:val="16"/>
              </w:rPr>
              <w:t>, Business, Industry</w:t>
            </w:r>
          </w:p>
        </w:tc>
        <w:tc>
          <w:tcPr>
            <w:tcW w:w="5310" w:type="dxa"/>
            <w:gridSpan w:val="2"/>
            <w:vAlign w:val="center"/>
          </w:tcPr>
          <w:p w14:paraId="1BA74509" w14:textId="77777777" w:rsidR="00372F7D" w:rsidRPr="003627E7" w:rsidRDefault="00372F7D" w:rsidP="00412B85">
            <w:pPr>
              <w:numPr>
                <w:ilvl w:val="0"/>
                <w:numId w:val="1"/>
              </w:numPr>
              <w:spacing w:after="0"/>
              <w:ind w:left="165" w:hanging="165"/>
              <w:rPr>
                <w:sz w:val="16"/>
                <w:szCs w:val="16"/>
              </w:rPr>
            </w:pPr>
            <w:r w:rsidRPr="003627E7">
              <w:rPr>
                <w:sz w:val="16"/>
                <w:szCs w:val="16"/>
              </w:rPr>
              <w:t>Foundation</w:t>
            </w:r>
            <w:r>
              <w:rPr>
                <w:sz w:val="16"/>
                <w:szCs w:val="16"/>
              </w:rPr>
              <w:t xml:space="preserve">/Community, Business, Industry </w:t>
            </w:r>
          </w:p>
        </w:tc>
        <w:tc>
          <w:tcPr>
            <w:tcW w:w="1095" w:type="dxa"/>
            <w:vAlign w:val="center"/>
          </w:tcPr>
          <w:p w14:paraId="7B103199" w14:textId="77777777" w:rsidR="00372F7D" w:rsidRPr="003627E7" w:rsidRDefault="00372F7D" w:rsidP="00412B85">
            <w:pPr>
              <w:spacing w:after="0"/>
              <w:jc w:val="center"/>
              <w:rPr>
                <w:sz w:val="16"/>
                <w:szCs w:val="16"/>
              </w:rPr>
            </w:pPr>
            <w:r>
              <w:rPr>
                <w:sz w:val="16"/>
                <w:szCs w:val="16"/>
              </w:rPr>
              <w:t>1</w:t>
            </w:r>
          </w:p>
        </w:tc>
        <w:tc>
          <w:tcPr>
            <w:tcW w:w="1240" w:type="dxa"/>
            <w:vAlign w:val="center"/>
          </w:tcPr>
          <w:p w14:paraId="374BB7CA" w14:textId="77777777" w:rsidR="00372F7D" w:rsidRPr="003627E7" w:rsidRDefault="00372F7D" w:rsidP="00412B85">
            <w:pPr>
              <w:spacing w:after="0"/>
              <w:jc w:val="center"/>
              <w:rPr>
                <w:sz w:val="16"/>
                <w:szCs w:val="16"/>
              </w:rPr>
            </w:pPr>
            <w:r>
              <w:rPr>
                <w:sz w:val="16"/>
                <w:szCs w:val="16"/>
              </w:rPr>
              <w:t>7</w:t>
            </w:r>
          </w:p>
        </w:tc>
      </w:tr>
      <w:tr w:rsidR="00372F7D" w:rsidRPr="003627E7" w14:paraId="64297302" w14:textId="77777777" w:rsidTr="00412B85">
        <w:trPr>
          <w:trHeight w:val="432"/>
        </w:trPr>
        <w:tc>
          <w:tcPr>
            <w:tcW w:w="1440" w:type="dxa"/>
            <w:vAlign w:val="center"/>
          </w:tcPr>
          <w:p w14:paraId="3729EDEF" w14:textId="77777777" w:rsidR="00372F7D" w:rsidRPr="003627E7" w:rsidRDefault="00372F7D" w:rsidP="00412B85">
            <w:pPr>
              <w:spacing w:after="0"/>
              <w:rPr>
                <w:sz w:val="16"/>
                <w:szCs w:val="16"/>
              </w:rPr>
            </w:pPr>
            <w:r w:rsidRPr="003627E7">
              <w:rPr>
                <w:sz w:val="16"/>
                <w:szCs w:val="16"/>
              </w:rPr>
              <w:t>Government &amp; Community Partners</w:t>
            </w:r>
          </w:p>
        </w:tc>
        <w:tc>
          <w:tcPr>
            <w:tcW w:w="5310" w:type="dxa"/>
            <w:gridSpan w:val="2"/>
            <w:vAlign w:val="center"/>
          </w:tcPr>
          <w:p w14:paraId="5E99CB74" w14:textId="77777777" w:rsidR="00372F7D" w:rsidRPr="00857977" w:rsidRDefault="00372F7D" w:rsidP="00412B85">
            <w:pPr>
              <w:numPr>
                <w:ilvl w:val="0"/>
                <w:numId w:val="1"/>
              </w:numPr>
              <w:spacing w:after="0"/>
              <w:ind w:left="165" w:hanging="165"/>
              <w:rPr>
                <w:sz w:val="16"/>
                <w:szCs w:val="16"/>
              </w:rPr>
            </w:pPr>
            <w:r w:rsidRPr="00857977">
              <w:rPr>
                <w:sz w:val="16"/>
                <w:szCs w:val="16"/>
              </w:rPr>
              <w:t>Workforce, Economic Development, City Officials,</w:t>
            </w:r>
            <w:r>
              <w:rPr>
                <w:sz w:val="16"/>
                <w:szCs w:val="16"/>
              </w:rPr>
              <w:t xml:space="preserve"> </w:t>
            </w:r>
            <w:r w:rsidRPr="00857977">
              <w:rPr>
                <w:sz w:val="16"/>
                <w:szCs w:val="16"/>
              </w:rPr>
              <w:t xml:space="preserve">Chamber of Commerce </w:t>
            </w:r>
          </w:p>
        </w:tc>
        <w:tc>
          <w:tcPr>
            <w:tcW w:w="1095" w:type="dxa"/>
            <w:vAlign w:val="center"/>
          </w:tcPr>
          <w:p w14:paraId="4D1F14FB" w14:textId="77777777" w:rsidR="00372F7D" w:rsidRPr="003627E7" w:rsidRDefault="00372F7D" w:rsidP="00412B85">
            <w:pPr>
              <w:spacing w:after="0"/>
              <w:jc w:val="center"/>
              <w:rPr>
                <w:sz w:val="16"/>
                <w:szCs w:val="16"/>
              </w:rPr>
            </w:pPr>
            <w:r>
              <w:rPr>
                <w:sz w:val="16"/>
                <w:szCs w:val="16"/>
              </w:rPr>
              <w:t>1</w:t>
            </w:r>
          </w:p>
        </w:tc>
        <w:tc>
          <w:tcPr>
            <w:tcW w:w="1240" w:type="dxa"/>
            <w:vAlign w:val="center"/>
          </w:tcPr>
          <w:p w14:paraId="3C74B3FB" w14:textId="77777777" w:rsidR="00372F7D" w:rsidRPr="003627E7" w:rsidRDefault="00372F7D" w:rsidP="00412B85">
            <w:pPr>
              <w:spacing w:after="0"/>
              <w:jc w:val="center"/>
              <w:rPr>
                <w:sz w:val="16"/>
                <w:szCs w:val="16"/>
              </w:rPr>
            </w:pPr>
            <w:r>
              <w:rPr>
                <w:sz w:val="16"/>
                <w:szCs w:val="16"/>
              </w:rPr>
              <w:t>4</w:t>
            </w:r>
          </w:p>
        </w:tc>
      </w:tr>
      <w:tr w:rsidR="00372F7D" w:rsidRPr="003627E7" w14:paraId="2CC229E4" w14:textId="77777777" w:rsidTr="00412B85">
        <w:trPr>
          <w:trHeight w:val="432"/>
        </w:trPr>
        <w:tc>
          <w:tcPr>
            <w:tcW w:w="1440" w:type="dxa"/>
            <w:vAlign w:val="center"/>
          </w:tcPr>
          <w:p w14:paraId="252DF0DD" w14:textId="77777777" w:rsidR="00372F7D" w:rsidRPr="003627E7" w:rsidRDefault="00372F7D" w:rsidP="00412B85">
            <w:pPr>
              <w:spacing w:after="0"/>
              <w:rPr>
                <w:sz w:val="16"/>
                <w:szCs w:val="16"/>
              </w:rPr>
            </w:pPr>
            <w:r w:rsidRPr="003627E7">
              <w:rPr>
                <w:sz w:val="16"/>
                <w:szCs w:val="16"/>
              </w:rPr>
              <w:t xml:space="preserve">Educational Partners </w:t>
            </w:r>
          </w:p>
        </w:tc>
        <w:tc>
          <w:tcPr>
            <w:tcW w:w="5310" w:type="dxa"/>
            <w:gridSpan w:val="2"/>
            <w:vAlign w:val="center"/>
          </w:tcPr>
          <w:p w14:paraId="6E7E1FA8" w14:textId="77777777" w:rsidR="00372F7D" w:rsidRPr="003627E7" w:rsidRDefault="00372F7D" w:rsidP="00412B85">
            <w:pPr>
              <w:numPr>
                <w:ilvl w:val="0"/>
                <w:numId w:val="1"/>
              </w:numPr>
              <w:spacing w:after="0"/>
              <w:ind w:left="165" w:hanging="165"/>
              <w:rPr>
                <w:sz w:val="16"/>
                <w:szCs w:val="16"/>
              </w:rPr>
            </w:pPr>
            <w:r w:rsidRPr="003627E7">
              <w:rPr>
                <w:sz w:val="16"/>
                <w:szCs w:val="16"/>
              </w:rPr>
              <w:t>K-12 Schools</w:t>
            </w:r>
            <w:r>
              <w:rPr>
                <w:sz w:val="16"/>
                <w:szCs w:val="16"/>
              </w:rPr>
              <w:t xml:space="preserve"> </w:t>
            </w:r>
          </w:p>
          <w:p w14:paraId="779153E8" w14:textId="77777777" w:rsidR="00372F7D" w:rsidRPr="00857977" w:rsidRDefault="00372F7D" w:rsidP="00412B85">
            <w:pPr>
              <w:numPr>
                <w:ilvl w:val="0"/>
                <w:numId w:val="1"/>
              </w:numPr>
              <w:spacing w:after="0"/>
              <w:ind w:left="165" w:hanging="165"/>
              <w:rPr>
                <w:sz w:val="16"/>
                <w:szCs w:val="16"/>
              </w:rPr>
            </w:pPr>
            <w:r w:rsidRPr="003627E7">
              <w:rPr>
                <w:sz w:val="16"/>
                <w:szCs w:val="16"/>
              </w:rPr>
              <w:t>Universities</w:t>
            </w:r>
            <w:r>
              <w:rPr>
                <w:sz w:val="16"/>
                <w:szCs w:val="16"/>
              </w:rPr>
              <w:t xml:space="preserve"> </w:t>
            </w:r>
          </w:p>
        </w:tc>
        <w:tc>
          <w:tcPr>
            <w:tcW w:w="1095" w:type="dxa"/>
            <w:vAlign w:val="center"/>
          </w:tcPr>
          <w:p w14:paraId="1D4CF06E" w14:textId="77777777" w:rsidR="00372F7D" w:rsidRPr="003627E7" w:rsidRDefault="00372F7D" w:rsidP="00412B85">
            <w:pPr>
              <w:spacing w:after="0"/>
              <w:jc w:val="center"/>
              <w:rPr>
                <w:sz w:val="16"/>
                <w:szCs w:val="16"/>
              </w:rPr>
            </w:pPr>
            <w:r>
              <w:rPr>
                <w:sz w:val="16"/>
                <w:szCs w:val="16"/>
              </w:rPr>
              <w:t>1</w:t>
            </w:r>
          </w:p>
        </w:tc>
        <w:tc>
          <w:tcPr>
            <w:tcW w:w="1240" w:type="dxa"/>
            <w:vAlign w:val="center"/>
          </w:tcPr>
          <w:p w14:paraId="2BB07D42" w14:textId="77777777" w:rsidR="00372F7D" w:rsidRPr="003627E7" w:rsidRDefault="00372F7D" w:rsidP="00412B85">
            <w:pPr>
              <w:spacing w:after="0"/>
              <w:jc w:val="center"/>
              <w:rPr>
                <w:sz w:val="16"/>
                <w:szCs w:val="16"/>
              </w:rPr>
            </w:pPr>
            <w:r>
              <w:rPr>
                <w:sz w:val="16"/>
                <w:szCs w:val="16"/>
              </w:rPr>
              <w:t>2</w:t>
            </w:r>
          </w:p>
        </w:tc>
      </w:tr>
      <w:tr w:rsidR="00372F7D" w:rsidRPr="003627E7" w14:paraId="32D69475" w14:textId="77777777" w:rsidTr="00412B85">
        <w:trPr>
          <w:trHeight w:val="432"/>
        </w:trPr>
        <w:tc>
          <w:tcPr>
            <w:tcW w:w="6750" w:type="dxa"/>
            <w:gridSpan w:val="3"/>
            <w:shd w:val="clear" w:color="auto" w:fill="E2EFD9" w:themeFill="accent6" w:themeFillTint="33"/>
            <w:vAlign w:val="center"/>
          </w:tcPr>
          <w:p w14:paraId="2FCDCC4C" w14:textId="77777777" w:rsidR="00372F7D" w:rsidRPr="003627E7" w:rsidRDefault="00372F7D" w:rsidP="00412B85">
            <w:pPr>
              <w:spacing w:after="0"/>
              <w:rPr>
                <w:b/>
                <w:bCs/>
                <w:sz w:val="16"/>
                <w:szCs w:val="16"/>
              </w:rPr>
            </w:pPr>
            <w:r w:rsidRPr="003627E7">
              <w:rPr>
                <w:b/>
                <w:bCs/>
                <w:sz w:val="16"/>
                <w:szCs w:val="16"/>
              </w:rPr>
              <w:t>Total Number of External Listening Sessions and Participants</w:t>
            </w:r>
          </w:p>
        </w:tc>
        <w:tc>
          <w:tcPr>
            <w:tcW w:w="1095" w:type="dxa"/>
            <w:shd w:val="clear" w:color="auto" w:fill="E2EFD9" w:themeFill="accent6" w:themeFillTint="33"/>
            <w:vAlign w:val="center"/>
          </w:tcPr>
          <w:p w14:paraId="0523497E" w14:textId="77777777" w:rsidR="00372F7D" w:rsidRPr="003627E7" w:rsidRDefault="00372F7D" w:rsidP="00412B85">
            <w:pPr>
              <w:spacing w:after="0"/>
              <w:jc w:val="center"/>
              <w:rPr>
                <w:b/>
                <w:bCs/>
                <w:sz w:val="16"/>
                <w:szCs w:val="16"/>
              </w:rPr>
            </w:pPr>
            <w:r>
              <w:rPr>
                <w:b/>
                <w:bCs/>
                <w:sz w:val="16"/>
                <w:szCs w:val="16"/>
              </w:rPr>
              <w:t>3</w:t>
            </w:r>
          </w:p>
        </w:tc>
        <w:tc>
          <w:tcPr>
            <w:tcW w:w="1240" w:type="dxa"/>
            <w:shd w:val="clear" w:color="auto" w:fill="E2EFD9" w:themeFill="accent6" w:themeFillTint="33"/>
            <w:vAlign w:val="center"/>
          </w:tcPr>
          <w:p w14:paraId="35C71DFF" w14:textId="77777777" w:rsidR="00372F7D" w:rsidRPr="003627E7" w:rsidRDefault="00372F7D" w:rsidP="00412B85">
            <w:pPr>
              <w:spacing w:after="0"/>
              <w:jc w:val="center"/>
              <w:rPr>
                <w:b/>
                <w:bCs/>
                <w:sz w:val="16"/>
                <w:szCs w:val="16"/>
              </w:rPr>
            </w:pPr>
            <w:r>
              <w:rPr>
                <w:b/>
                <w:bCs/>
                <w:sz w:val="16"/>
                <w:szCs w:val="16"/>
              </w:rPr>
              <w:t>13</w:t>
            </w:r>
          </w:p>
        </w:tc>
      </w:tr>
      <w:tr w:rsidR="00372F7D" w:rsidRPr="003627E7" w14:paraId="19751352" w14:textId="77777777" w:rsidTr="00412B85">
        <w:trPr>
          <w:trHeight w:val="432"/>
        </w:trPr>
        <w:tc>
          <w:tcPr>
            <w:tcW w:w="6750" w:type="dxa"/>
            <w:gridSpan w:val="3"/>
            <w:shd w:val="clear" w:color="auto" w:fill="E2EFD9" w:themeFill="accent6" w:themeFillTint="33"/>
            <w:vAlign w:val="center"/>
          </w:tcPr>
          <w:p w14:paraId="6D0A17A8" w14:textId="77777777" w:rsidR="00372F7D" w:rsidRPr="003627E7" w:rsidRDefault="00372F7D" w:rsidP="00412B85">
            <w:pPr>
              <w:spacing w:after="0"/>
              <w:rPr>
                <w:b/>
                <w:bCs/>
                <w:sz w:val="16"/>
                <w:szCs w:val="16"/>
              </w:rPr>
            </w:pPr>
            <w:r>
              <w:rPr>
                <w:b/>
                <w:bCs/>
                <w:sz w:val="16"/>
                <w:szCs w:val="16"/>
              </w:rPr>
              <w:t>TOTAL NUMBER OF INTERNAL AND EXTERNAL LISTENING SESSIONS AND PARTICIPANTS</w:t>
            </w:r>
          </w:p>
        </w:tc>
        <w:tc>
          <w:tcPr>
            <w:tcW w:w="1095" w:type="dxa"/>
            <w:shd w:val="clear" w:color="auto" w:fill="E2EFD9" w:themeFill="accent6" w:themeFillTint="33"/>
            <w:vAlign w:val="center"/>
          </w:tcPr>
          <w:p w14:paraId="373A68FD" w14:textId="77777777" w:rsidR="00372F7D" w:rsidRDefault="00372F7D" w:rsidP="00412B85">
            <w:pPr>
              <w:spacing w:after="0"/>
              <w:jc w:val="center"/>
              <w:rPr>
                <w:b/>
                <w:bCs/>
                <w:sz w:val="16"/>
                <w:szCs w:val="16"/>
              </w:rPr>
            </w:pPr>
            <w:r>
              <w:rPr>
                <w:b/>
                <w:bCs/>
                <w:sz w:val="16"/>
                <w:szCs w:val="16"/>
              </w:rPr>
              <w:t>17</w:t>
            </w:r>
          </w:p>
        </w:tc>
        <w:tc>
          <w:tcPr>
            <w:tcW w:w="1240" w:type="dxa"/>
            <w:shd w:val="clear" w:color="auto" w:fill="E2EFD9" w:themeFill="accent6" w:themeFillTint="33"/>
            <w:vAlign w:val="center"/>
          </w:tcPr>
          <w:p w14:paraId="56DA8D8C" w14:textId="77777777" w:rsidR="00372F7D" w:rsidRPr="003627E7" w:rsidRDefault="00372F7D" w:rsidP="00412B85">
            <w:pPr>
              <w:spacing w:after="0"/>
              <w:jc w:val="center"/>
              <w:rPr>
                <w:b/>
                <w:bCs/>
                <w:sz w:val="16"/>
                <w:szCs w:val="16"/>
              </w:rPr>
            </w:pPr>
            <w:r>
              <w:rPr>
                <w:b/>
                <w:bCs/>
                <w:sz w:val="16"/>
                <w:szCs w:val="16"/>
              </w:rPr>
              <w:t>100</w:t>
            </w:r>
          </w:p>
        </w:tc>
      </w:tr>
    </w:tbl>
    <w:p w14:paraId="3B72F400" w14:textId="77777777" w:rsidR="00372F7D" w:rsidRPr="003627E7" w:rsidRDefault="00372F7D" w:rsidP="00F16EFC">
      <w:r>
        <w:t>Emergent</w:t>
      </w:r>
      <w:r w:rsidRPr="003627E7">
        <w:t xml:space="preserve"> Themes</w:t>
      </w:r>
    </w:p>
    <w:p w14:paraId="44077B37" w14:textId="77777777" w:rsidR="00372F7D" w:rsidRDefault="00372F7D" w:rsidP="00372F7D">
      <w:r>
        <w:t>Overall, the perception of the College by internal and external stakeholders and students was very positive among the emergent themes, and there were also areas identified for further exploration. This qualitative input, combined with the trends and planning assumptions from the Data Profile, is valuable for the College as it highlights challenges and opportunities for Taft College, which is discussed later in this document. As displayed below, six themes and 20 sub-themes emerged from the listening sessions.</w:t>
      </w:r>
    </w:p>
    <w:p w14:paraId="6E0ED74D" w14:textId="77777777" w:rsidR="00372F7D" w:rsidRDefault="00372F7D" w:rsidP="00372F7D"/>
    <w:p w14:paraId="4A669B82" w14:textId="77777777" w:rsidR="00372F7D" w:rsidRPr="00BA7CF0" w:rsidRDefault="00372F7D" w:rsidP="00372F7D">
      <w:pPr>
        <w:jc w:val="center"/>
        <w:rPr>
          <w:b/>
          <w:bCs/>
          <w:sz w:val="24"/>
        </w:rPr>
      </w:pPr>
      <w:r>
        <w:rPr>
          <w:b/>
          <w:bCs/>
          <w:sz w:val="24"/>
        </w:rPr>
        <w:t>Emergent Themes and Subthemes</w:t>
      </w:r>
    </w:p>
    <w:p w14:paraId="5D68B1DA" w14:textId="77777777" w:rsidR="00372F7D" w:rsidRDefault="00372F7D" w:rsidP="00372F7D"/>
    <w:p w14:paraId="147BDA0E" w14:textId="77777777" w:rsidR="00372F7D" w:rsidRDefault="00372F7D" w:rsidP="00372F7D">
      <w:pPr>
        <w:ind w:left="720"/>
      </w:pPr>
      <w:r>
        <w:rPr>
          <w:noProof/>
        </w:rPr>
        <w:lastRenderedPageBreak/>
        <w:drawing>
          <wp:inline distT="0" distB="0" distL="0" distR="0" wp14:anchorId="54482E7A" wp14:editId="702BE9B1">
            <wp:extent cx="5600700" cy="3441504"/>
            <wp:effectExtent l="0" t="114300" r="0" b="6985"/>
            <wp:docPr id="364763520"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inline>
        </w:drawing>
      </w:r>
    </w:p>
    <w:p w14:paraId="6E69071A" w14:textId="77777777" w:rsidR="00372F7D" w:rsidRPr="00E85156" w:rsidRDefault="00372F7D" w:rsidP="00F16EFC">
      <w:pPr>
        <w:rPr>
          <w:rFonts w:eastAsia="DengXian Light"/>
        </w:rPr>
      </w:pPr>
      <w:bookmarkStart w:id="305" w:name="_Toc180340332"/>
      <w:r>
        <w:rPr>
          <w:rFonts w:eastAsia="DengXian Light"/>
        </w:rPr>
        <w:t xml:space="preserve">Highlights of </w:t>
      </w:r>
      <w:r w:rsidRPr="007B4B04">
        <w:rPr>
          <w:rFonts w:eastAsia="DengXian Light"/>
        </w:rPr>
        <w:t>Stakeholder Insights from Listening Sessions</w:t>
      </w:r>
      <w:r>
        <w:rPr>
          <w:rFonts w:eastAsia="DengXian Light"/>
        </w:rPr>
        <w:t xml:space="preserve"> </w:t>
      </w:r>
      <w:bookmarkEnd w:id="305"/>
    </w:p>
    <w:p w14:paraId="4E425D3E" w14:textId="77777777" w:rsidR="00372F7D" w:rsidRPr="00DF4234" w:rsidRDefault="00372F7D" w:rsidP="00372F7D">
      <w:r w:rsidRPr="00DF4234">
        <w:t>Stakeholders at Taft College emphasized the institution’s unique appeal, characterized by its small campus size, personalized atmosphere, and strong relationships between faculty, staff, and students. The welcoming environment and easy campus navigation are significant advantages for prospective students, and the college’s small class sizes foster meaningful relationships between students and instructors. Many students choose Taft College based on positive family experiences and a strong sense of community. Compared to larger institutions like Bakersfield College, students noted a preference for Taft due to individualized support. Direct access to faculty, free parking, and tutoring services further enhances the student experience, making Taft an attractive option for those seeking a supportive and intimate educational environment.</w:t>
      </w:r>
    </w:p>
    <w:p w14:paraId="62FFE378" w14:textId="77777777" w:rsidR="00372F7D" w:rsidRPr="00DF4234" w:rsidRDefault="00372F7D" w:rsidP="00372F7D">
      <w:r w:rsidRPr="00DF4234">
        <w:t>Despite these positive observations, stakeholders highlighted factors impacting the college, with declining enrollment a significant concern. Stakeholders emphasized the importance of understanding and addressing student experiences, particularly academic programming and scheduling issues. Demographic shifts, particularly within the local Latino population, highlight the need to address language barriers that impact educational access</w:t>
      </w:r>
      <w:r>
        <w:t xml:space="preserve"> and success</w:t>
      </w:r>
      <w:r w:rsidRPr="00DF4234">
        <w:t xml:space="preserve">. Maintaining strong faculty-student relationships is becoming more complex, and there is a strong focus on recruiting students from outside the immediate area. The use of athletic programs and student engagement opportunities as recruitment tools was emphasized. Concerns regarding academic counseling were noted, as students faced inconsistencies in advising that led to delays in their </w:t>
      </w:r>
      <w:r>
        <w:t>educational</w:t>
      </w:r>
      <w:r w:rsidRPr="00DF4234">
        <w:t xml:space="preserve"> </w:t>
      </w:r>
      <w:r>
        <w:t xml:space="preserve">program </w:t>
      </w:r>
      <w:r w:rsidRPr="00DF4234">
        <w:t>progress. The importance of establishing more consistent and meaningful connections with counselors, alongside support for non-traditional career paths, was also emphasized. Additionally, problems related to course registration and a need for more awareness about orientation programs were noted.</w:t>
      </w:r>
    </w:p>
    <w:p w14:paraId="0DC66B88" w14:textId="77777777" w:rsidR="00372F7D" w:rsidRDefault="00372F7D" w:rsidP="00372F7D">
      <w:r w:rsidRPr="00DF4234">
        <w:t xml:space="preserve">Looking forward, strengthening community and economic partnerships and making strategic infrastructure improvements were viewed as vital to ensuring Taft College’s sustained growth and relevance in the region. Stakeholders emphasized the importance of Taft College adapting to </w:t>
      </w:r>
      <w:r>
        <w:t xml:space="preserve">demographic shifts and </w:t>
      </w:r>
      <w:r w:rsidRPr="00DF4234">
        <w:t>chang</w:t>
      </w:r>
      <w:r>
        <w:t>es in the regional economy and workforce</w:t>
      </w:r>
      <w:r w:rsidRPr="00DF4234">
        <w:t xml:space="preserve">. Additionally, the expansion of credit and noncredit Career and Technical Education (CTE) programs and the exploration of new workforce training opportunities were considered essential for meeting the changing demands of the industry. Further investments in dual enrollment and strengthened partnerships with local high schools and universities were also mentioned as </w:t>
      </w:r>
      <w:r>
        <w:t>important</w:t>
      </w:r>
      <w:r w:rsidRPr="00DF4234">
        <w:t xml:space="preserve"> to create clear academic pathways for students. Innovative class scheduling and diverse delivery methods were further identified as essential to meet the needs of both traditional and non-traditional students. Stakeholders also </w:t>
      </w:r>
      <w:r w:rsidRPr="00DF4234">
        <w:lastRenderedPageBreak/>
        <w:t xml:space="preserve">underscored the significance of prioritizing professional development for faculty, diversifying program offerings, and pursuing new funding opportunities to maintain </w:t>
      </w:r>
      <w:r>
        <w:t xml:space="preserve">the infrastructure and for </w:t>
      </w:r>
      <w:r w:rsidRPr="00DF4234">
        <w:t>financial stability.</w:t>
      </w:r>
    </w:p>
    <w:p w14:paraId="1017FA54" w14:textId="77777777" w:rsidR="00372F7D" w:rsidRDefault="00372F7D" w:rsidP="00F16EFC">
      <w:r>
        <w:t>Challenges and Opportunities</w:t>
      </w:r>
    </w:p>
    <w:p w14:paraId="02EB2BA8" w14:textId="77777777" w:rsidR="00372F7D" w:rsidRPr="009F639A" w:rsidRDefault="00372F7D" w:rsidP="00372F7D">
      <w:r>
        <w:t>A high-level Strengths, Opportunities, Aspirations, and Results (SOAR) analysis of the findings from Phases I and II revealed challenges and opportunities for Taft College to consider in developing its next ten-year Educational Master Plan. High-priority challenges, opportunities, and efforts already underway are highlighted in the section that follows.</w:t>
      </w:r>
    </w:p>
    <w:p w14:paraId="12F675EB" w14:textId="77777777" w:rsidR="00372F7D" w:rsidRPr="001E4C68" w:rsidRDefault="00372F7D" w:rsidP="00372F7D">
      <w:r w:rsidRPr="001E4C68">
        <w:t xml:space="preserve">Taft College is uniquely positioned to leverage its strengths and opportunities in West Kern County, a region with a rich history and a growing potential for transformation. While the area is sparsely populated, experiencing an ongoing population decline, and facing both demographic shifts and changes in the economy and workforce, the College is committed to addressing these challenges through innovative solutions. The college-going rate in Kern County </w:t>
      </w:r>
      <w:r>
        <w:t>is</w:t>
      </w:r>
      <w:r w:rsidRPr="001E4C68">
        <w:t xml:space="preserve"> lower than the state average, present</w:t>
      </w:r>
      <w:r>
        <w:t>ing</w:t>
      </w:r>
      <w:r w:rsidRPr="001E4C68">
        <w:t xml:space="preserve"> an opportunity for Taft College to be a key player in increasing educational access and fostering success in this community. Though the region has faced economic challenges, particularly with the decline of the oil industry, these shifts open new opportunities for Taft College to pivot towards emerging sectors like renewable energy and technology, which are essential to the region's future.</w:t>
      </w:r>
    </w:p>
    <w:p w14:paraId="14168075" w14:textId="77777777" w:rsidR="00372F7D" w:rsidRPr="001E4C68" w:rsidRDefault="00372F7D" w:rsidP="00372F7D">
      <w:pPr>
        <w:rPr>
          <w:color w:val="000000" w:themeColor="text1"/>
          <w:szCs w:val="22"/>
        </w:rPr>
      </w:pPr>
      <w:r w:rsidRPr="001E4C68">
        <w:rPr>
          <w:color w:val="000000" w:themeColor="text1"/>
          <w:szCs w:val="22"/>
        </w:rPr>
        <w:t>Similar to the West Kern County region, the College is experiencing many transitions</w:t>
      </w:r>
      <w:r>
        <w:rPr>
          <w:color w:val="000000" w:themeColor="text1"/>
          <w:szCs w:val="22"/>
        </w:rPr>
        <w:t xml:space="preserve"> as well</w:t>
      </w:r>
      <w:r w:rsidRPr="001E4C68">
        <w:rPr>
          <w:color w:val="000000" w:themeColor="text1"/>
          <w:szCs w:val="22"/>
        </w:rPr>
        <w:t>. Instability in executive leadership</w:t>
      </w:r>
      <w:r>
        <w:rPr>
          <w:color w:val="000000" w:themeColor="text1"/>
          <w:szCs w:val="22"/>
        </w:rPr>
        <w:t>, high</w:t>
      </w:r>
      <w:r w:rsidRPr="001E4C68">
        <w:rPr>
          <w:color w:val="000000" w:themeColor="text1"/>
          <w:szCs w:val="22"/>
        </w:rPr>
        <w:t xml:space="preserve"> staff turnover</w:t>
      </w:r>
      <w:r>
        <w:rPr>
          <w:color w:val="000000" w:themeColor="text1"/>
          <w:szCs w:val="22"/>
        </w:rPr>
        <w:t xml:space="preserve">, </w:t>
      </w:r>
      <w:r w:rsidRPr="001E4C68">
        <w:rPr>
          <w:color w:val="000000" w:themeColor="text1"/>
          <w:szCs w:val="22"/>
        </w:rPr>
        <w:t xml:space="preserve">and the many changes at the State level have challenged the College to take a fresh look at its approach in serving students and the region. Limited space, aging buildings, and outdated athletic facilities restrict the College’s ability to attract </w:t>
      </w:r>
      <w:r>
        <w:rPr>
          <w:color w:val="000000" w:themeColor="text1"/>
          <w:szCs w:val="22"/>
        </w:rPr>
        <w:t>and r</w:t>
      </w:r>
      <w:r w:rsidRPr="001E4C68">
        <w:rPr>
          <w:color w:val="000000" w:themeColor="text1"/>
          <w:szCs w:val="22"/>
        </w:rPr>
        <w:t xml:space="preserve">ecruit students effectively. Additionally, state funding formula uncertainties and the possibility of reduced future funding, along with enrollment decline </w:t>
      </w:r>
      <w:r>
        <w:rPr>
          <w:color w:val="000000" w:themeColor="text1"/>
          <w:szCs w:val="22"/>
        </w:rPr>
        <w:t xml:space="preserve">with </w:t>
      </w:r>
      <w:r w:rsidRPr="001E4C68">
        <w:rPr>
          <w:color w:val="000000" w:themeColor="text1"/>
          <w:szCs w:val="22"/>
        </w:rPr>
        <w:t>a slow recovery compared to peer institutions</w:t>
      </w:r>
      <w:r>
        <w:rPr>
          <w:color w:val="000000" w:themeColor="text1"/>
          <w:szCs w:val="22"/>
        </w:rPr>
        <w:t>,</w:t>
      </w:r>
      <w:r w:rsidRPr="001E4C68">
        <w:rPr>
          <w:color w:val="000000" w:themeColor="text1"/>
          <w:szCs w:val="22"/>
        </w:rPr>
        <w:t xml:space="preserve"> pose serious risks to financial stability. </w:t>
      </w:r>
    </w:p>
    <w:p w14:paraId="3E4AC8F1" w14:textId="77777777" w:rsidR="00372F7D" w:rsidRPr="001E4C68" w:rsidRDefault="00372F7D" w:rsidP="00372F7D">
      <w:pPr>
        <w:rPr>
          <w:color w:val="000000" w:themeColor="text1"/>
          <w:szCs w:val="22"/>
        </w:rPr>
      </w:pPr>
      <w:r w:rsidRPr="001E4C68">
        <w:rPr>
          <w:color w:val="000000" w:themeColor="text1"/>
          <w:szCs w:val="22"/>
        </w:rPr>
        <w:t xml:space="preserve">While space, facilities, and fiscal resources may be constrained, these challenges present a clear path for modernization, technology solutions, strategic enrollment management, innovation, and growth. Taft College is exploring ways to enhance its athletic, CTE, and student spaces to better serve the </w:t>
      </w:r>
      <w:r>
        <w:rPr>
          <w:color w:val="000000" w:themeColor="text1"/>
          <w:szCs w:val="22"/>
        </w:rPr>
        <w:t xml:space="preserve">changing </w:t>
      </w:r>
      <w:r w:rsidRPr="001E4C68">
        <w:rPr>
          <w:color w:val="000000" w:themeColor="text1"/>
          <w:szCs w:val="22"/>
        </w:rPr>
        <w:t xml:space="preserve">needs of </w:t>
      </w:r>
      <w:r>
        <w:rPr>
          <w:color w:val="000000" w:themeColor="text1"/>
          <w:szCs w:val="22"/>
        </w:rPr>
        <w:t xml:space="preserve">today’s </w:t>
      </w:r>
      <w:r w:rsidRPr="001E4C68">
        <w:rPr>
          <w:color w:val="000000" w:themeColor="text1"/>
          <w:szCs w:val="22"/>
        </w:rPr>
        <w:t xml:space="preserve">students and improve recruitment and retention. The need for technological upgrades is also recognized as a key opportunity, and the college is committed to modernizing its systems to improve online learning platforms and keep pace with innovations like California Virtual Campus (CVC) badging, high-flex courses, and fully online programs. These updates will enhance student access and support enrollment growth, particularly as the college adapts to the increasing demand for flexible and innovative learning options for both traditional </w:t>
      </w:r>
      <w:r>
        <w:rPr>
          <w:color w:val="000000" w:themeColor="text1"/>
          <w:szCs w:val="22"/>
        </w:rPr>
        <w:t xml:space="preserve">students </w:t>
      </w:r>
      <w:r w:rsidRPr="001E4C68">
        <w:rPr>
          <w:color w:val="000000" w:themeColor="text1"/>
          <w:szCs w:val="22"/>
        </w:rPr>
        <w:t>and non-traditional adult learners.</w:t>
      </w:r>
    </w:p>
    <w:p w14:paraId="560BA77B" w14:textId="77777777" w:rsidR="00372F7D" w:rsidRPr="001E4C68" w:rsidRDefault="00372F7D" w:rsidP="00372F7D">
      <w:pPr>
        <w:rPr>
          <w:color w:val="000000" w:themeColor="text1"/>
          <w:szCs w:val="22"/>
        </w:rPr>
      </w:pPr>
      <w:r w:rsidRPr="001E4C68">
        <w:rPr>
          <w:color w:val="000000" w:themeColor="text1"/>
          <w:szCs w:val="22"/>
        </w:rPr>
        <w:t xml:space="preserve">Despite its designation as a Hispanic-Serving Institution (HSI), the College’s ability to adapt to changing demographics and fully embrace Diversity, Equity, Inclusion, and Anti-Racism (DEIAA) remains </w:t>
      </w:r>
      <w:r>
        <w:rPr>
          <w:color w:val="000000" w:themeColor="text1"/>
          <w:szCs w:val="22"/>
        </w:rPr>
        <w:t>challenging. T</w:t>
      </w:r>
      <w:r w:rsidRPr="001E4C68">
        <w:rPr>
          <w:color w:val="000000" w:themeColor="text1"/>
          <w:szCs w:val="22"/>
        </w:rPr>
        <w:t>aft College is dedicated to addressing the evolving demographics of the region and is working to better integrate these initiatives into all aspects of campus life and academic programming, ensuring that all students are supported and empowered. Increased competition from nearby colleges and the rural location of the College present further enrollment challenges, but they also inspire the College to refine its marketing strategies, expand outreach, and further strengthen connections with local schools, industries, and community organizations for a collective approach in meeting local higher education, workforce, and training needs. These efforts will be key to attracting students and engaging the community, particularly with 55% of the student population coming from the nearby city of Bakersfield, poised for modest growth in the coming years.</w:t>
      </w:r>
    </w:p>
    <w:p w14:paraId="18250309" w14:textId="77777777" w:rsidR="00372F7D" w:rsidRPr="001E4C68" w:rsidRDefault="00372F7D" w:rsidP="00372F7D">
      <w:pPr>
        <w:rPr>
          <w:color w:val="000000" w:themeColor="text1"/>
          <w:szCs w:val="22"/>
        </w:rPr>
      </w:pPr>
      <w:r w:rsidRPr="001E4C68">
        <w:rPr>
          <w:color w:val="000000" w:themeColor="text1"/>
          <w:szCs w:val="22"/>
        </w:rPr>
        <w:t xml:space="preserve">To address course scheduling and support the needs of working adult students, Taft College is committed to offering more flexible learning options, including fully online, hybrid, and </w:t>
      </w:r>
      <w:r>
        <w:rPr>
          <w:color w:val="000000" w:themeColor="text1"/>
          <w:szCs w:val="22"/>
        </w:rPr>
        <w:t xml:space="preserve">hybrid-flexible (hyflex) </w:t>
      </w:r>
      <w:r w:rsidRPr="001E4C68">
        <w:rPr>
          <w:color w:val="000000" w:themeColor="text1"/>
          <w:szCs w:val="22"/>
        </w:rPr>
        <w:t xml:space="preserve">courses and programs. This aligns with the fact that a significant portion </w:t>
      </w:r>
      <w:r>
        <w:rPr>
          <w:color w:val="000000" w:themeColor="text1"/>
          <w:szCs w:val="22"/>
        </w:rPr>
        <w:t xml:space="preserve">(73%) </w:t>
      </w:r>
      <w:r w:rsidRPr="001E4C68">
        <w:rPr>
          <w:color w:val="000000" w:themeColor="text1"/>
          <w:szCs w:val="22"/>
        </w:rPr>
        <w:t>of the adult population in Kern County</w:t>
      </w:r>
      <w:r>
        <w:rPr>
          <w:color w:val="000000" w:themeColor="text1"/>
          <w:szCs w:val="22"/>
        </w:rPr>
        <w:t xml:space="preserve"> </w:t>
      </w:r>
      <w:r w:rsidRPr="001E4C68">
        <w:rPr>
          <w:color w:val="000000" w:themeColor="text1"/>
          <w:szCs w:val="22"/>
        </w:rPr>
        <w:t xml:space="preserve">has some college education but no degree, creating a substantial pool of potential students who could benefit from tailored programs. Furthermore, expanding career and technical education (CTE) and non-credit programs, including dual enrollment, English as a second language (ESL), and Vocational ESL, will provide essential “on-ramp” opportunities </w:t>
      </w:r>
      <w:r>
        <w:rPr>
          <w:color w:val="000000" w:themeColor="text1"/>
          <w:szCs w:val="22"/>
        </w:rPr>
        <w:t xml:space="preserve">for students </w:t>
      </w:r>
      <w:r w:rsidRPr="001E4C68">
        <w:rPr>
          <w:color w:val="000000" w:themeColor="text1"/>
          <w:szCs w:val="22"/>
        </w:rPr>
        <w:t>and help meet local workforce needs, including remote job opportunities in fields like renewable energy and technology.</w:t>
      </w:r>
    </w:p>
    <w:p w14:paraId="5EF23294" w14:textId="77777777" w:rsidR="00372F7D" w:rsidRPr="001E4C68" w:rsidRDefault="00372F7D" w:rsidP="00372F7D">
      <w:pPr>
        <w:rPr>
          <w:color w:val="000000" w:themeColor="text1"/>
          <w:szCs w:val="22"/>
        </w:rPr>
      </w:pPr>
      <w:r w:rsidRPr="001E4C68">
        <w:rPr>
          <w:color w:val="000000" w:themeColor="text1"/>
          <w:szCs w:val="22"/>
        </w:rPr>
        <w:lastRenderedPageBreak/>
        <w:t>The College is also focused on expanding its academic and student support services. Enhanced mental health services, academic counseling, and financial aid will be integral to ensuring that students not only enroll but succeed. By strengthening partnerships with local government, industry, and the community, Taft College can foster a collaborative approach that supports economic development, expands DEIA efforts, and ultimately boosts enrollment. Additionally, improving the college’s digital infrastructure — such as introducing Open Educational Resources (OER), implementing zero textbook initiatives, expanding CVC course badging, creating micro credentials and expanding stackable credentials, and reducing time to degree and degree units — will further reduce costs and increase access, success and completion for students.</w:t>
      </w:r>
    </w:p>
    <w:p w14:paraId="0C8B4E75" w14:textId="77777777" w:rsidR="00372F7D" w:rsidRPr="001E4C68" w:rsidRDefault="00372F7D" w:rsidP="00372F7D">
      <w:pPr>
        <w:rPr>
          <w:color w:val="000000" w:themeColor="text1"/>
          <w:szCs w:val="22"/>
        </w:rPr>
      </w:pPr>
      <w:r w:rsidRPr="001E4C68">
        <w:rPr>
          <w:color w:val="000000" w:themeColor="text1"/>
          <w:szCs w:val="22"/>
        </w:rPr>
        <w:t xml:space="preserve">To align with future workforce needs, Taft College plans to integrate cutting-edge curricula, including remote and AI-related courses, and offer more experiential learning opportunities, such as internships and apprenticeships. These opportunities will better prepare students for the evolving job market. Using data to inform decision making around program development, enrollment management strategies, and institutional planning will ensure that Taft College remains responsive and agile in its approach to student success. Collaboration across departments and between instruction and student services via full implementation of the guided pathways initiative can </w:t>
      </w:r>
      <w:r>
        <w:rPr>
          <w:color w:val="000000" w:themeColor="text1"/>
          <w:szCs w:val="22"/>
        </w:rPr>
        <w:t>i</w:t>
      </w:r>
      <w:r w:rsidRPr="001E4C68">
        <w:rPr>
          <w:color w:val="000000" w:themeColor="text1"/>
          <w:szCs w:val="22"/>
        </w:rPr>
        <w:t xml:space="preserve">ncrease completion of </w:t>
      </w:r>
      <w:r>
        <w:rPr>
          <w:color w:val="000000" w:themeColor="text1"/>
          <w:szCs w:val="22"/>
        </w:rPr>
        <w:t xml:space="preserve">college-level </w:t>
      </w:r>
      <w:r w:rsidRPr="001E4C68">
        <w:rPr>
          <w:color w:val="000000" w:themeColor="text1"/>
          <w:szCs w:val="22"/>
        </w:rPr>
        <w:t>math</w:t>
      </w:r>
      <w:r>
        <w:rPr>
          <w:color w:val="000000" w:themeColor="text1"/>
          <w:szCs w:val="22"/>
        </w:rPr>
        <w:t>ematics</w:t>
      </w:r>
      <w:r w:rsidRPr="001E4C68">
        <w:rPr>
          <w:color w:val="000000" w:themeColor="text1"/>
          <w:szCs w:val="22"/>
        </w:rPr>
        <w:t xml:space="preserve"> and English in the first year, support streamlined and innovative curriculum, marketing and recruitment, academic and student support services, retention and persistence, and completion and transfer rates. These collaborative efforts, together with an eye on securing strategic grants to support workforce development, renewable energy programs, and facility improvements, can position Taft College to transform itself to grow in new and exciting ways.</w:t>
      </w:r>
    </w:p>
    <w:p w14:paraId="574D8730" w14:textId="77777777" w:rsidR="00372F7D" w:rsidRPr="001E4C68" w:rsidRDefault="00372F7D" w:rsidP="00372F7D">
      <w:pPr>
        <w:rPr>
          <w:color w:val="000000" w:themeColor="text1"/>
          <w:szCs w:val="22"/>
        </w:rPr>
      </w:pPr>
      <w:r w:rsidRPr="001E4C68">
        <w:rPr>
          <w:color w:val="000000" w:themeColor="text1"/>
          <w:szCs w:val="22"/>
        </w:rPr>
        <w:t>The support of the State Chancellor and collaboration with local industry leaders will be vital as Taft College continues to build upon its strengths. By remaining adaptable to changes in enrollment patterns and the local economy, Taft College can thrive in an ever-changing landscape, positioning itself for sustainable growth and long-term success.</w:t>
      </w:r>
      <w:bookmarkStart w:id="306" w:name="_bookmark81"/>
      <w:bookmarkStart w:id="307" w:name="_bookmark82"/>
      <w:bookmarkEnd w:id="306"/>
      <w:bookmarkEnd w:id="307"/>
    </w:p>
    <w:p w14:paraId="6C0857DB" w14:textId="77777777" w:rsidR="00372F7D" w:rsidRPr="00F20D6C" w:rsidRDefault="00372F7D" w:rsidP="00527759">
      <w:pPr>
        <w:rPr>
          <w:rFonts w:ascii="Calibri" w:hAnsi="Calibri"/>
        </w:rPr>
      </w:pPr>
    </w:p>
    <w:p w14:paraId="5416A239" w14:textId="77777777" w:rsidR="00527759" w:rsidRPr="00F20D6C" w:rsidRDefault="00527759" w:rsidP="00527759">
      <w:pPr>
        <w:rPr>
          <w:rFonts w:ascii="Calibri" w:hAnsi="Calibri"/>
        </w:rPr>
      </w:pPr>
    </w:p>
    <w:p w14:paraId="035A3E8D" w14:textId="77777777" w:rsidR="00527759" w:rsidRPr="00F20D6C" w:rsidRDefault="00527759" w:rsidP="00527759">
      <w:pPr>
        <w:rPr>
          <w:rFonts w:ascii="Calibri" w:hAnsi="Calibri"/>
        </w:rPr>
      </w:pPr>
    </w:p>
    <w:bookmarkEnd w:id="163"/>
    <w:bookmarkEnd w:id="164"/>
    <w:p w14:paraId="381E5288" w14:textId="77777777" w:rsidR="00527759" w:rsidRDefault="00527759" w:rsidP="00527759"/>
    <w:sectPr w:rsidR="00527759" w:rsidSect="00D05136">
      <w:headerReference w:type="even" r:id="rId147"/>
      <w:headerReference w:type="default" r:id="rId148"/>
      <w:footerReference w:type="even" r:id="rId149"/>
      <w:footerReference w:type="default" r:id="rId150"/>
      <w:headerReference w:type="first" r:id="rId151"/>
      <w:footerReference w:type="first" r:id="rId152"/>
      <w:type w:val="continuous"/>
      <w:pgSz w:w="12240" w:h="15840"/>
      <w:pgMar w:top="0" w:right="1152" w:bottom="950" w:left="1008" w:header="41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26E53" w14:textId="77777777" w:rsidR="003A66C7" w:rsidRDefault="003A66C7" w:rsidP="00054E17">
      <w:r>
        <w:separator/>
      </w:r>
    </w:p>
    <w:p w14:paraId="291F3102" w14:textId="77777777" w:rsidR="003A66C7" w:rsidRDefault="003A66C7"/>
  </w:endnote>
  <w:endnote w:type="continuationSeparator" w:id="0">
    <w:p w14:paraId="3F1B972C" w14:textId="77777777" w:rsidR="003A66C7" w:rsidRDefault="003A66C7" w:rsidP="00054E17">
      <w:r>
        <w:continuationSeparator/>
      </w:r>
    </w:p>
    <w:p w14:paraId="20834303" w14:textId="77777777" w:rsidR="003A66C7" w:rsidRDefault="003A66C7"/>
  </w:endnote>
  <w:endnote w:type="continuationNotice" w:id="1">
    <w:p w14:paraId="4F0875DD" w14:textId="77777777" w:rsidR="003A66C7" w:rsidRDefault="003A66C7">
      <w:pPr>
        <w:spacing w:after="0"/>
      </w:pPr>
    </w:p>
    <w:p w14:paraId="129E8929" w14:textId="77777777" w:rsidR="003A66C7" w:rsidRDefault="003A66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omic Sans MS">
    <w:panose1 w:val="030F0702030302020204"/>
    <w:charset w:val="00"/>
    <w:family w:val="script"/>
    <w:pitch w:val="variable"/>
    <w:sig w:usb0="00000687" w:usb1="00000013" w:usb2="00000000" w:usb3="00000000" w:csb0="0000009F" w:csb1="00000000"/>
  </w:font>
  <w:font w:name="Apple Chancery">
    <w:altName w:val="Arial"/>
    <w:charset w:val="B1"/>
    <w:family w:val="script"/>
    <w:pitch w:val="variable"/>
    <w:sig w:usb0="80000867" w:usb1="00000003" w:usb2="00000000" w:usb3="00000000" w:csb0="000001F3" w:csb1="00000000"/>
  </w:font>
  <w:font w:name="Lucida Sans">
    <w:panose1 w:val="020B0602030504020204"/>
    <w:charset w:val="00"/>
    <w:family w:val="swiss"/>
    <w:pitch w:val="variable"/>
    <w:sig w:usb0="00000003" w:usb1="00000000" w:usb2="00000000" w:usb3="00000000" w:csb0="00000001" w:csb1="00000000"/>
  </w:font>
  <w:font w:name="Sailec">
    <w:altName w:val="Calibri"/>
    <w:charset w:val="00"/>
    <w:family w:val="swiss"/>
    <w:pitch w:val="default"/>
    <w:sig w:usb0="000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487A0" w14:textId="77777777" w:rsidR="00025C3B" w:rsidRDefault="00025C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2B951" w14:textId="1C6789A4" w:rsidR="00F15A1C" w:rsidRPr="0045426E" w:rsidRDefault="00F15A1C" w:rsidP="00290B6E">
    <w:pPr>
      <w:pStyle w:val="Footer"/>
      <w:tabs>
        <w:tab w:val="clear" w:pos="9360"/>
        <w:tab w:val="right" w:pos="14040"/>
      </w:tabs>
      <w:jc w:val="center"/>
    </w:pPr>
    <w:r w:rsidRPr="0045426E">
      <w:fldChar w:fldCharType="begin"/>
    </w:r>
    <w:r w:rsidRPr="0045426E">
      <w:instrText xml:space="preserve"> PAGE </w:instrText>
    </w:r>
    <w:r w:rsidRPr="0045426E">
      <w:fldChar w:fldCharType="separate"/>
    </w:r>
    <w:r w:rsidRPr="0045426E">
      <w:rPr>
        <w:noProof/>
      </w:rPr>
      <w:t>1</w:t>
    </w:r>
    <w:r w:rsidRPr="0045426E">
      <w:fldChar w:fldCharType="end"/>
    </w:r>
  </w:p>
  <w:p w14:paraId="06269F48" w14:textId="77777777" w:rsidR="00AA0846" w:rsidRDefault="00AA084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9FBAD" w14:textId="77777777" w:rsidR="00025C3B" w:rsidRDefault="00025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90FDD8" w14:textId="77777777" w:rsidR="003A66C7" w:rsidRDefault="003A66C7" w:rsidP="00054E17">
      <w:r>
        <w:separator/>
      </w:r>
    </w:p>
    <w:p w14:paraId="396725A8" w14:textId="77777777" w:rsidR="003A66C7" w:rsidRDefault="003A66C7"/>
  </w:footnote>
  <w:footnote w:type="continuationSeparator" w:id="0">
    <w:p w14:paraId="6C4A048F" w14:textId="77777777" w:rsidR="003A66C7" w:rsidRDefault="003A66C7" w:rsidP="00054E17">
      <w:r>
        <w:continuationSeparator/>
      </w:r>
    </w:p>
    <w:p w14:paraId="6E9DC5E7" w14:textId="77777777" w:rsidR="003A66C7" w:rsidRDefault="003A66C7"/>
  </w:footnote>
  <w:footnote w:type="continuationNotice" w:id="1">
    <w:p w14:paraId="582EB788" w14:textId="77777777" w:rsidR="003A66C7" w:rsidRDefault="003A66C7">
      <w:pPr>
        <w:spacing w:after="0"/>
      </w:pPr>
    </w:p>
    <w:p w14:paraId="1343B593" w14:textId="77777777" w:rsidR="003A66C7" w:rsidRDefault="003A66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0704A" w14:textId="77777777" w:rsidR="00025C3B" w:rsidRDefault="00025C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996192"/>
      <w:docPartObj>
        <w:docPartGallery w:val="Watermarks"/>
        <w:docPartUnique/>
      </w:docPartObj>
    </w:sdtPr>
    <w:sdtContent>
      <w:p w14:paraId="02C86AA0" w14:textId="0C3B3536" w:rsidR="00025C3B" w:rsidRDefault="00EE07E4">
        <w:pPr>
          <w:pStyle w:val="Header"/>
        </w:pPr>
        <w:r>
          <w:rPr>
            <w:noProof/>
          </w:rPr>
          <w:pict w14:anchorId="5D5574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59A63" w14:textId="77777777" w:rsidR="00025C3B" w:rsidRDefault="00025C3B">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3771A"/>
    <w:multiLevelType w:val="multilevel"/>
    <w:tmpl w:val="FBE2B6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A53A3F"/>
    <w:multiLevelType w:val="hybridMultilevel"/>
    <w:tmpl w:val="1F40408E"/>
    <w:lvl w:ilvl="0" w:tplc="F6582762">
      <w:start w:val="202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027FB4"/>
    <w:multiLevelType w:val="hybridMultilevel"/>
    <w:tmpl w:val="F7DA3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F7C03"/>
    <w:multiLevelType w:val="hybridMultilevel"/>
    <w:tmpl w:val="B8DEB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C3148D"/>
    <w:multiLevelType w:val="hybridMultilevel"/>
    <w:tmpl w:val="985EC4EC"/>
    <w:lvl w:ilvl="0" w:tplc="2D683B08">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DF428C"/>
    <w:multiLevelType w:val="hybridMultilevel"/>
    <w:tmpl w:val="7682F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1E0C40"/>
    <w:multiLevelType w:val="hybridMultilevel"/>
    <w:tmpl w:val="6EA2D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CA60A1"/>
    <w:multiLevelType w:val="hybridMultilevel"/>
    <w:tmpl w:val="081684F6"/>
    <w:lvl w:ilvl="0" w:tplc="F6582762">
      <w:start w:val="202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2711CA"/>
    <w:multiLevelType w:val="hybridMultilevel"/>
    <w:tmpl w:val="13003D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A8D4F3B"/>
    <w:multiLevelType w:val="hybridMultilevel"/>
    <w:tmpl w:val="990E3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916870"/>
    <w:multiLevelType w:val="multilevel"/>
    <w:tmpl w:val="D69E1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7F4F24"/>
    <w:multiLevelType w:val="hybridMultilevel"/>
    <w:tmpl w:val="BACE12EC"/>
    <w:lvl w:ilvl="0" w:tplc="4AE49A8A">
      <w:start w:val="1"/>
      <w:numFmt w:val="bullet"/>
      <w:lvlText w:val=""/>
      <w:lvlJc w:val="left"/>
      <w:pPr>
        <w:tabs>
          <w:tab w:val="num" w:pos="720"/>
        </w:tabs>
        <w:ind w:left="720" w:hanging="360"/>
      </w:pPr>
      <w:rPr>
        <w:rFonts w:ascii="Wingdings" w:hAnsi="Wingdings" w:hint="default"/>
      </w:rPr>
    </w:lvl>
    <w:lvl w:ilvl="1" w:tplc="0C1831B4">
      <w:start w:val="1"/>
      <w:numFmt w:val="bullet"/>
      <w:lvlText w:val=""/>
      <w:lvlJc w:val="left"/>
      <w:pPr>
        <w:tabs>
          <w:tab w:val="num" w:pos="1440"/>
        </w:tabs>
        <w:ind w:left="1440" w:hanging="360"/>
      </w:pPr>
      <w:rPr>
        <w:rFonts w:ascii="Wingdings" w:hAnsi="Wingdings" w:hint="default"/>
      </w:rPr>
    </w:lvl>
    <w:lvl w:ilvl="2" w:tplc="4EAC9892" w:tentative="1">
      <w:start w:val="1"/>
      <w:numFmt w:val="bullet"/>
      <w:lvlText w:val=""/>
      <w:lvlJc w:val="left"/>
      <w:pPr>
        <w:tabs>
          <w:tab w:val="num" w:pos="2160"/>
        </w:tabs>
        <w:ind w:left="2160" w:hanging="360"/>
      </w:pPr>
      <w:rPr>
        <w:rFonts w:ascii="Wingdings" w:hAnsi="Wingdings" w:hint="default"/>
      </w:rPr>
    </w:lvl>
    <w:lvl w:ilvl="3" w:tplc="8270AB4E" w:tentative="1">
      <w:start w:val="1"/>
      <w:numFmt w:val="bullet"/>
      <w:lvlText w:val=""/>
      <w:lvlJc w:val="left"/>
      <w:pPr>
        <w:tabs>
          <w:tab w:val="num" w:pos="2880"/>
        </w:tabs>
        <w:ind w:left="2880" w:hanging="360"/>
      </w:pPr>
      <w:rPr>
        <w:rFonts w:ascii="Wingdings" w:hAnsi="Wingdings" w:hint="default"/>
      </w:rPr>
    </w:lvl>
    <w:lvl w:ilvl="4" w:tplc="675CB8D2" w:tentative="1">
      <w:start w:val="1"/>
      <w:numFmt w:val="bullet"/>
      <w:lvlText w:val=""/>
      <w:lvlJc w:val="left"/>
      <w:pPr>
        <w:tabs>
          <w:tab w:val="num" w:pos="3600"/>
        </w:tabs>
        <w:ind w:left="3600" w:hanging="360"/>
      </w:pPr>
      <w:rPr>
        <w:rFonts w:ascii="Wingdings" w:hAnsi="Wingdings" w:hint="default"/>
      </w:rPr>
    </w:lvl>
    <w:lvl w:ilvl="5" w:tplc="DADCE926" w:tentative="1">
      <w:start w:val="1"/>
      <w:numFmt w:val="bullet"/>
      <w:lvlText w:val=""/>
      <w:lvlJc w:val="left"/>
      <w:pPr>
        <w:tabs>
          <w:tab w:val="num" w:pos="4320"/>
        </w:tabs>
        <w:ind w:left="4320" w:hanging="360"/>
      </w:pPr>
      <w:rPr>
        <w:rFonts w:ascii="Wingdings" w:hAnsi="Wingdings" w:hint="default"/>
      </w:rPr>
    </w:lvl>
    <w:lvl w:ilvl="6" w:tplc="0EB0E766" w:tentative="1">
      <w:start w:val="1"/>
      <w:numFmt w:val="bullet"/>
      <w:lvlText w:val=""/>
      <w:lvlJc w:val="left"/>
      <w:pPr>
        <w:tabs>
          <w:tab w:val="num" w:pos="5040"/>
        </w:tabs>
        <w:ind w:left="5040" w:hanging="360"/>
      </w:pPr>
      <w:rPr>
        <w:rFonts w:ascii="Wingdings" w:hAnsi="Wingdings" w:hint="default"/>
      </w:rPr>
    </w:lvl>
    <w:lvl w:ilvl="7" w:tplc="CD64F986" w:tentative="1">
      <w:start w:val="1"/>
      <w:numFmt w:val="bullet"/>
      <w:lvlText w:val=""/>
      <w:lvlJc w:val="left"/>
      <w:pPr>
        <w:tabs>
          <w:tab w:val="num" w:pos="5760"/>
        </w:tabs>
        <w:ind w:left="5760" w:hanging="360"/>
      </w:pPr>
      <w:rPr>
        <w:rFonts w:ascii="Wingdings" w:hAnsi="Wingdings" w:hint="default"/>
      </w:rPr>
    </w:lvl>
    <w:lvl w:ilvl="8" w:tplc="3D7A064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8E23E0"/>
    <w:multiLevelType w:val="hybridMultilevel"/>
    <w:tmpl w:val="5896FA5A"/>
    <w:lvl w:ilvl="0" w:tplc="F6582762">
      <w:start w:val="202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8980E40"/>
    <w:multiLevelType w:val="hybridMultilevel"/>
    <w:tmpl w:val="B7048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D061CE"/>
    <w:multiLevelType w:val="hybridMultilevel"/>
    <w:tmpl w:val="D06C4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AF5802"/>
    <w:multiLevelType w:val="hybridMultilevel"/>
    <w:tmpl w:val="FF7CC512"/>
    <w:lvl w:ilvl="0" w:tplc="D2BCEEC2">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AC0483"/>
    <w:multiLevelType w:val="hybridMultilevel"/>
    <w:tmpl w:val="A2D8DC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A77E71"/>
    <w:multiLevelType w:val="multilevel"/>
    <w:tmpl w:val="18E8CF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0D3B1C"/>
    <w:multiLevelType w:val="hybridMultilevel"/>
    <w:tmpl w:val="A5BEF2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8B1703"/>
    <w:multiLevelType w:val="hybridMultilevel"/>
    <w:tmpl w:val="A78E8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0D2C05"/>
    <w:multiLevelType w:val="hybridMultilevel"/>
    <w:tmpl w:val="86BAFDCA"/>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A01BD2"/>
    <w:multiLevelType w:val="multilevel"/>
    <w:tmpl w:val="FD462D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457357"/>
    <w:multiLevelType w:val="hybridMultilevel"/>
    <w:tmpl w:val="2C704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686C0E"/>
    <w:multiLevelType w:val="hybridMultilevel"/>
    <w:tmpl w:val="30C0B7E4"/>
    <w:lvl w:ilvl="0" w:tplc="FCE6B5BE">
      <w:start w:val="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742FB5"/>
    <w:multiLevelType w:val="hybridMultilevel"/>
    <w:tmpl w:val="EA289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5977E0"/>
    <w:multiLevelType w:val="multilevel"/>
    <w:tmpl w:val="5F6066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2515E3D"/>
    <w:multiLevelType w:val="hybridMultilevel"/>
    <w:tmpl w:val="0E205C3C"/>
    <w:lvl w:ilvl="0" w:tplc="C4DCABCC">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CF7791"/>
    <w:multiLevelType w:val="hybridMultilevel"/>
    <w:tmpl w:val="0BC6110E"/>
    <w:lvl w:ilvl="0" w:tplc="F6582762">
      <w:start w:val="202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50D52C0"/>
    <w:multiLevelType w:val="hybridMultilevel"/>
    <w:tmpl w:val="8C7C1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D4046D"/>
    <w:multiLevelType w:val="hybridMultilevel"/>
    <w:tmpl w:val="DBF4BE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8F2EF4"/>
    <w:multiLevelType w:val="hybridMultilevel"/>
    <w:tmpl w:val="EE167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B2030E"/>
    <w:multiLevelType w:val="hybridMultilevel"/>
    <w:tmpl w:val="A894D736"/>
    <w:lvl w:ilvl="0" w:tplc="F6582762">
      <w:start w:val="202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AFF59C1"/>
    <w:multiLevelType w:val="multilevel"/>
    <w:tmpl w:val="F46674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DE76012"/>
    <w:multiLevelType w:val="hybridMultilevel"/>
    <w:tmpl w:val="B2DE6948"/>
    <w:lvl w:ilvl="0" w:tplc="A5C629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E5676BC"/>
    <w:multiLevelType w:val="hybridMultilevel"/>
    <w:tmpl w:val="1B0010E4"/>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0454000"/>
    <w:multiLevelType w:val="hybridMultilevel"/>
    <w:tmpl w:val="FA261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55750A"/>
    <w:multiLevelType w:val="multilevel"/>
    <w:tmpl w:val="952C4E98"/>
    <w:styleLink w:val="CurrentList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5614424"/>
    <w:multiLevelType w:val="hybridMultilevel"/>
    <w:tmpl w:val="8F868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82129E"/>
    <w:multiLevelType w:val="hybridMultilevel"/>
    <w:tmpl w:val="4EF804EC"/>
    <w:lvl w:ilvl="0" w:tplc="E6CC9B72">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59AB4B5F"/>
    <w:multiLevelType w:val="hybridMultilevel"/>
    <w:tmpl w:val="7C9AA2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1E305E"/>
    <w:multiLevelType w:val="hybridMultilevel"/>
    <w:tmpl w:val="725A3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C21F6C"/>
    <w:multiLevelType w:val="hybridMultilevel"/>
    <w:tmpl w:val="F370AB2A"/>
    <w:lvl w:ilvl="0" w:tplc="F6582762">
      <w:start w:val="202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08776DC"/>
    <w:multiLevelType w:val="hybridMultilevel"/>
    <w:tmpl w:val="2206C86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5694CC8"/>
    <w:multiLevelType w:val="hybridMultilevel"/>
    <w:tmpl w:val="C8DC200E"/>
    <w:lvl w:ilvl="0" w:tplc="EDEAEE1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6C97FA2"/>
    <w:multiLevelType w:val="multilevel"/>
    <w:tmpl w:val="B03A3ED2"/>
    <w:styleLink w:val="CurrentList1"/>
    <w:lvl w:ilvl="0">
      <w:start w:val="1"/>
      <w:numFmt w:val="lowerLetter"/>
      <w:lvlText w:val="%1."/>
      <w:lvlJc w:val="left"/>
      <w:pPr>
        <w:ind w:left="720" w:hanging="360"/>
      </w:pPr>
    </w:lvl>
    <w:lvl w:ilvl="1">
      <w:start w:val="1"/>
      <w:numFmt w:val="lowerLetter"/>
      <w:lvlText w:val="%2."/>
      <w:lvlJc w:val="left"/>
      <w:pPr>
        <w:ind w:left="108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15:restartNumberingAfterBreak="0">
    <w:nsid w:val="6AD7051A"/>
    <w:multiLevelType w:val="hybridMultilevel"/>
    <w:tmpl w:val="BBCC1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5C5B4C"/>
    <w:multiLevelType w:val="hybridMultilevel"/>
    <w:tmpl w:val="5D84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D4C3B09"/>
    <w:multiLevelType w:val="hybridMultilevel"/>
    <w:tmpl w:val="EE74692A"/>
    <w:lvl w:ilvl="0" w:tplc="F6582762">
      <w:start w:val="202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6770481"/>
    <w:multiLevelType w:val="multilevel"/>
    <w:tmpl w:val="EE12A8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89429EE"/>
    <w:multiLevelType w:val="hybridMultilevel"/>
    <w:tmpl w:val="7C2AC612"/>
    <w:lvl w:ilvl="0" w:tplc="F6582762">
      <w:start w:val="202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B28074A"/>
    <w:multiLevelType w:val="hybridMultilevel"/>
    <w:tmpl w:val="B218F150"/>
    <w:lvl w:ilvl="0" w:tplc="4AF277EA">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B2D38C7"/>
    <w:multiLevelType w:val="hybridMultilevel"/>
    <w:tmpl w:val="E2662444"/>
    <w:lvl w:ilvl="0" w:tplc="54141B54">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CFE70C0"/>
    <w:multiLevelType w:val="hybridMultilevel"/>
    <w:tmpl w:val="D24C654A"/>
    <w:lvl w:ilvl="0" w:tplc="28688E36">
      <w:start w:val="1"/>
      <w:numFmt w:val="bullet"/>
      <w:lvlText w:val="•"/>
      <w:lvlJc w:val="left"/>
      <w:pPr>
        <w:tabs>
          <w:tab w:val="num" w:pos="720"/>
        </w:tabs>
        <w:ind w:left="720" w:hanging="360"/>
      </w:pPr>
      <w:rPr>
        <w:rFonts w:ascii="Arial" w:hAnsi="Arial" w:hint="default"/>
      </w:rPr>
    </w:lvl>
    <w:lvl w:ilvl="1" w:tplc="44109610" w:tentative="1">
      <w:start w:val="1"/>
      <w:numFmt w:val="bullet"/>
      <w:lvlText w:val="•"/>
      <w:lvlJc w:val="left"/>
      <w:pPr>
        <w:tabs>
          <w:tab w:val="num" w:pos="1440"/>
        </w:tabs>
        <w:ind w:left="1440" w:hanging="360"/>
      </w:pPr>
      <w:rPr>
        <w:rFonts w:ascii="Arial" w:hAnsi="Arial" w:hint="default"/>
      </w:rPr>
    </w:lvl>
    <w:lvl w:ilvl="2" w:tplc="880A6496" w:tentative="1">
      <w:start w:val="1"/>
      <w:numFmt w:val="bullet"/>
      <w:lvlText w:val="•"/>
      <w:lvlJc w:val="left"/>
      <w:pPr>
        <w:tabs>
          <w:tab w:val="num" w:pos="2160"/>
        </w:tabs>
        <w:ind w:left="2160" w:hanging="360"/>
      </w:pPr>
      <w:rPr>
        <w:rFonts w:ascii="Arial" w:hAnsi="Arial" w:hint="default"/>
      </w:rPr>
    </w:lvl>
    <w:lvl w:ilvl="3" w:tplc="2C065F30" w:tentative="1">
      <w:start w:val="1"/>
      <w:numFmt w:val="bullet"/>
      <w:lvlText w:val="•"/>
      <w:lvlJc w:val="left"/>
      <w:pPr>
        <w:tabs>
          <w:tab w:val="num" w:pos="2880"/>
        </w:tabs>
        <w:ind w:left="2880" w:hanging="360"/>
      </w:pPr>
      <w:rPr>
        <w:rFonts w:ascii="Arial" w:hAnsi="Arial" w:hint="default"/>
      </w:rPr>
    </w:lvl>
    <w:lvl w:ilvl="4" w:tplc="277AFE74" w:tentative="1">
      <w:start w:val="1"/>
      <w:numFmt w:val="bullet"/>
      <w:lvlText w:val="•"/>
      <w:lvlJc w:val="left"/>
      <w:pPr>
        <w:tabs>
          <w:tab w:val="num" w:pos="3600"/>
        </w:tabs>
        <w:ind w:left="3600" w:hanging="360"/>
      </w:pPr>
      <w:rPr>
        <w:rFonts w:ascii="Arial" w:hAnsi="Arial" w:hint="default"/>
      </w:rPr>
    </w:lvl>
    <w:lvl w:ilvl="5" w:tplc="5608EEBC" w:tentative="1">
      <w:start w:val="1"/>
      <w:numFmt w:val="bullet"/>
      <w:lvlText w:val="•"/>
      <w:lvlJc w:val="left"/>
      <w:pPr>
        <w:tabs>
          <w:tab w:val="num" w:pos="4320"/>
        </w:tabs>
        <w:ind w:left="4320" w:hanging="360"/>
      </w:pPr>
      <w:rPr>
        <w:rFonts w:ascii="Arial" w:hAnsi="Arial" w:hint="default"/>
      </w:rPr>
    </w:lvl>
    <w:lvl w:ilvl="6" w:tplc="59E642D6" w:tentative="1">
      <w:start w:val="1"/>
      <w:numFmt w:val="bullet"/>
      <w:lvlText w:val="•"/>
      <w:lvlJc w:val="left"/>
      <w:pPr>
        <w:tabs>
          <w:tab w:val="num" w:pos="5040"/>
        </w:tabs>
        <w:ind w:left="5040" w:hanging="360"/>
      </w:pPr>
      <w:rPr>
        <w:rFonts w:ascii="Arial" w:hAnsi="Arial" w:hint="default"/>
      </w:rPr>
    </w:lvl>
    <w:lvl w:ilvl="7" w:tplc="9D9C129E" w:tentative="1">
      <w:start w:val="1"/>
      <w:numFmt w:val="bullet"/>
      <w:lvlText w:val="•"/>
      <w:lvlJc w:val="left"/>
      <w:pPr>
        <w:tabs>
          <w:tab w:val="num" w:pos="5760"/>
        </w:tabs>
        <w:ind w:left="5760" w:hanging="360"/>
      </w:pPr>
      <w:rPr>
        <w:rFonts w:ascii="Arial" w:hAnsi="Arial" w:hint="default"/>
      </w:rPr>
    </w:lvl>
    <w:lvl w:ilvl="8" w:tplc="7632E1BE"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7E4621EC"/>
    <w:multiLevelType w:val="hybridMultilevel"/>
    <w:tmpl w:val="298AF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1855816">
    <w:abstractNumId w:val="20"/>
  </w:num>
  <w:num w:numId="2" w16cid:durableId="1198932925">
    <w:abstractNumId w:val="44"/>
  </w:num>
  <w:num w:numId="3" w16cid:durableId="1550145580">
    <w:abstractNumId w:val="36"/>
  </w:num>
  <w:num w:numId="4" w16cid:durableId="1573734491">
    <w:abstractNumId w:val="4"/>
  </w:num>
  <w:num w:numId="5" w16cid:durableId="712311655">
    <w:abstractNumId w:val="37"/>
  </w:num>
  <w:num w:numId="6" w16cid:durableId="516818724">
    <w:abstractNumId w:val="14"/>
  </w:num>
  <w:num w:numId="7" w16cid:durableId="1894540022">
    <w:abstractNumId w:val="19"/>
  </w:num>
  <w:num w:numId="8" w16cid:durableId="1741059297">
    <w:abstractNumId w:val="38"/>
  </w:num>
  <w:num w:numId="9" w16cid:durableId="1242254037">
    <w:abstractNumId w:val="7"/>
  </w:num>
  <w:num w:numId="10" w16cid:durableId="555506004">
    <w:abstractNumId w:val="12"/>
  </w:num>
  <w:num w:numId="11" w16cid:durableId="135881475">
    <w:abstractNumId w:val="27"/>
  </w:num>
  <w:num w:numId="12" w16cid:durableId="1712997113">
    <w:abstractNumId w:val="1"/>
  </w:num>
  <w:num w:numId="13" w16cid:durableId="1556039033">
    <w:abstractNumId w:val="47"/>
  </w:num>
  <w:num w:numId="14" w16cid:durableId="1211914671">
    <w:abstractNumId w:val="31"/>
  </w:num>
  <w:num w:numId="15" w16cid:durableId="455947863">
    <w:abstractNumId w:val="41"/>
  </w:num>
  <w:num w:numId="16" w16cid:durableId="514467064">
    <w:abstractNumId w:val="49"/>
  </w:num>
  <w:num w:numId="17" w16cid:durableId="334067926">
    <w:abstractNumId w:val="53"/>
  </w:num>
  <w:num w:numId="18" w16cid:durableId="1535918866">
    <w:abstractNumId w:val="22"/>
  </w:num>
  <w:num w:numId="19" w16cid:durableId="380984272">
    <w:abstractNumId w:val="42"/>
  </w:num>
  <w:num w:numId="20" w16cid:durableId="1485656033">
    <w:abstractNumId w:val="13"/>
  </w:num>
  <w:num w:numId="21" w16cid:durableId="199510416">
    <w:abstractNumId w:val="40"/>
  </w:num>
  <w:num w:numId="22" w16cid:durableId="1023703536">
    <w:abstractNumId w:val="30"/>
  </w:num>
  <w:num w:numId="23" w16cid:durableId="3866765">
    <w:abstractNumId w:val="11"/>
  </w:num>
  <w:num w:numId="24" w16cid:durableId="1255749493">
    <w:abstractNumId w:val="28"/>
  </w:num>
  <w:num w:numId="25" w16cid:durableId="19088458">
    <w:abstractNumId w:val="51"/>
  </w:num>
  <w:num w:numId="26" w16cid:durableId="636181055">
    <w:abstractNumId w:val="46"/>
  </w:num>
  <w:num w:numId="27" w16cid:durableId="528494026">
    <w:abstractNumId w:val="39"/>
  </w:num>
  <w:num w:numId="28" w16cid:durableId="465121586">
    <w:abstractNumId w:val="8"/>
  </w:num>
  <w:num w:numId="29" w16cid:durableId="1465998406">
    <w:abstractNumId w:val="16"/>
  </w:num>
  <w:num w:numId="30" w16cid:durableId="1113093345">
    <w:abstractNumId w:val="9"/>
  </w:num>
  <w:num w:numId="31" w16cid:durableId="2080592932">
    <w:abstractNumId w:val="24"/>
  </w:num>
  <w:num w:numId="32" w16cid:durableId="1658074485">
    <w:abstractNumId w:val="52"/>
  </w:num>
  <w:num w:numId="33" w16cid:durableId="1683623763">
    <w:abstractNumId w:val="34"/>
  </w:num>
  <w:num w:numId="34" w16cid:durableId="749236843">
    <w:abstractNumId w:val="33"/>
  </w:num>
  <w:num w:numId="35" w16cid:durableId="197284761">
    <w:abstractNumId w:val="43"/>
  </w:num>
  <w:num w:numId="36" w16cid:durableId="1944336847">
    <w:abstractNumId w:val="50"/>
  </w:num>
  <w:num w:numId="37" w16cid:durableId="665328011">
    <w:abstractNumId w:val="15"/>
  </w:num>
  <w:num w:numId="38" w16cid:durableId="456918234">
    <w:abstractNumId w:val="26"/>
  </w:num>
  <w:num w:numId="39" w16cid:durableId="1771509415">
    <w:abstractNumId w:val="23"/>
  </w:num>
  <w:num w:numId="40" w16cid:durableId="1092438114">
    <w:abstractNumId w:val="2"/>
  </w:num>
  <w:num w:numId="41" w16cid:durableId="1524320928">
    <w:abstractNumId w:val="5"/>
  </w:num>
  <w:num w:numId="42" w16cid:durableId="1685858887">
    <w:abstractNumId w:val="6"/>
  </w:num>
  <w:num w:numId="43" w16cid:durableId="1028264439">
    <w:abstractNumId w:val="10"/>
  </w:num>
  <w:num w:numId="44" w16cid:durableId="1899704992">
    <w:abstractNumId w:val="35"/>
  </w:num>
  <w:num w:numId="45" w16cid:durableId="2092894319">
    <w:abstractNumId w:val="29"/>
  </w:num>
  <w:num w:numId="46" w16cid:durableId="1328442109">
    <w:abstractNumId w:val="18"/>
  </w:num>
  <w:num w:numId="47" w16cid:durableId="1162432476">
    <w:abstractNumId w:val="0"/>
  </w:num>
  <w:num w:numId="48" w16cid:durableId="2018919421">
    <w:abstractNumId w:val="17"/>
  </w:num>
  <w:num w:numId="49" w16cid:durableId="1833178668">
    <w:abstractNumId w:val="25"/>
  </w:num>
  <w:num w:numId="50" w16cid:durableId="782728570">
    <w:abstractNumId w:val="21"/>
  </w:num>
  <w:num w:numId="51" w16cid:durableId="563487730">
    <w:abstractNumId w:val="32"/>
  </w:num>
  <w:num w:numId="52" w16cid:durableId="534731096">
    <w:abstractNumId w:val="48"/>
  </w:num>
  <w:num w:numId="53" w16cid:durableId="1380129873">
    <w:abstractNumId w:val="3"/>
  </w:num>
  <w:num w:numId="54" w16cid:durableId="465589449">
    <w:abstractNumId w:val="4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578"/>
    <w:rsid w:val="00000D33"/>
    <w:rsid w:val="00000DC4"/>
    <w:rsid w:val="00000FB1"/>
    <w:rsid w:val="000010A0"/>
    <w:rsid w:val="0000144C"/>
    <w:rsid w:val="0000161E"/>
    <w:rsid w:val="00001A4B"/>
    <w:rsid w:val="000025E2"/>
    <w:rsid w:val="00002643"/>
    <w:rsid w:val="00002650"/>
    <w:rsid w:val="00003359"/>
    <w:rsid w:val="000038A2"/>
    <w:rsid w:val="00003BF7"/>
    <w:rsid w:val="00003F67"/>
    <w:rsid w:val="00004171"/>
    <w:rsid w:val="000045B3"/>
    <w:rsid w:val="00004C17"/>
    <w:rsid w:val="00006B00"/>
    <w:rsid w:val="00006B74"/>
    <w:rsid w:val="0000738A"/>
    <w:rsid w:val="00010222"/>
    <w:rsid w:val="000108B6"/>
    <w:rsid w:val="00010D41"/>
    <w:rsid w:val="0001109F"/>
    <w:rsid w:val="00011974"/>
    <w:rsid w:val="00011A80"/>
    <w:rsid w:val="00011BC3"/>
    <w:rsid w:val="00011F9B"/>
    <w:rsid w:val="0001232C"/>
    <w:rsid w:val="00012612"/>
    <w:rsid w:val="00013503"/>
    <w:rsid w:val="0001375B"/>
    <w:rsid w:val="00013FD0"/>
    <w:rsid w:val="000143CA"/>
    <w:rsid w:val="00014DA8"/>
    <w:rsid w:val="00014DC8"/>
    <w:rsid w:val="00014F27"/>
    <w:rsid w:val="00015BF3"/>
    <w:rsid w:val="0001673D"/>
    <w:rsid w:val="00016CDD"/>
    <w:rsid w:val="00016E5A"/>
    <w:rsid w:val="00017823"/>
    <w:rsid w:val="00017A1C"/>
    <w:rsid w:val="00020021"/>
    <w:rsid w:val="00020BC9"/>
    <w:rsid w:val="00021176"/>
    <w:rsid w:val="00021F11"/>
    <w:rsid w:val="000223C4"/>
    <w:rsid w:val="00022789"/>
    <w:rsid w:val="00022D3E"/>
    <w:rsid w:val="00022ED6"/>
    <w:rsid w:val="0002364D"/>
    <w:rsid w:val="000243AB"/>
    <w:rsid w:val="0002533B"/>
    <w:rsid w:val="00025C3B"/>
    <w:rsid w:val="0002634E"/>
    <w:rsid w:val="00026CF9"/>
    <w:rsid w:val="00026DB9"/>
    <w:rsid w:val="00027814"/>
    <w:rsid w:val="00030A67"/>
    <w:rsid w:val="00030EC8"/>
    <w:rsid w:val="000311DE"/>
    <w:rsid w:val="00031D80"/>
    <w:rsid w:val="00032237"/>
    <w:rsid w:val="0003297D"/>
    <w:rsid w:val="00032B94"/>
    <w:rsid w:val="00032E6C"/>
    <w:rsid w:val="00033F11"/>
    <w:rsid w:val="00033F71"/>
    <w:rsid w:val="00035228"/>
    <w:rsid w:val="00035B99"/>
    <w:rsid w:val="00035D34"/>
    <w:rsid w:val="0003615A"/>
    <w:rsid w:val="0003653D"/>
    <w:rsid w:val="000371A4"/>
    <w:rsid w:val="000371B9"/>
    <w:rsid w:val="0003756C"/>
    <w:rsid w:val="0004004E"/>
    <w:rsid w:val="00040760"/>
    <w:rsid w:val="0004092F"/>
    <w:rsid w:val="00040E39"/>
    <w:rsid w:val="00041A41"/>
    <w:rsid w:val="00042B4E"/>
    <w:rsid w:val="00043D4C"/>
    <w:rsid w:val="000443D2"/>
    <w:rsid w:val="00044679"/>
    <w:rsid w:val="00044F4B"/>
    <w:rsid w:val="00045234"/>
    <w:rsid w:val="000452D7"/>
    <w:rsid w:val="00045352"/>
    <w:rsid w:val="00045B67"/>
    <w:rsid w:val="00046600"/>
    <w:rsid w:val="00046B9E"/>
    <w:rsid w:val="00047124"/>
    <w:rsid w:val="000474AD"/>
    <w:rsid w:val="00047514"/>
    <w:rsid w:val="00047796"/>
    <w:rsid w:val="00047F75"/>
    <w:rsid w:val="00052224"/>
    <w:rsid w:val="0005232A"/>
    <w:rsid w:val="00053A95"/>
    <w:rsid w:val="00053EFB"/>
    <w:rsid w:val="000543F7"/>
    <w:rsid w:val="00054C5C"/>
    <w:rsid w:val="00054CD4"/>
    <w:rsid w:val="00054E17"/>
    <w:rsid w:val="0005524D"/>
    <w:rsid w:val="000559D3"/>
    <w:rsid w:val="00056242"/>
    <w:rsid w:val="00057172"/>
    <w:rsid w:val="00060752"/>
    <w:rsid w:val="00060BA7"/>
    <w:rsid w:val="00061444"/>
    <w:rsid w:val="00061761"/>
    <w:rsid w:val="0006371C"/>
    <w:rsid w:val="00063EC4"/>
    <w:rsid w:val="00064A5F"/>
    <w:rsid w:val="00064BDA"/>
    <w:rsid w:val="00065DE7"/>
    <w:rsid w:val="00066E8B"/>
    <w:rsid w:val="0006703A"/>
    <w:rsid w:val="00067424"/>
    <w:rsid w:val="00070245"/>
    <w:rsid w:val="000715EA"/>
    <w:rsid w:val="00071E65"/>
    <w:rsid w:val="00072252"/>
    <w:rsid w:val="000729A3"/>
    <w:rsid w:val="0007329F"/>
    <w:rsid w:val="000732AD"/>
    <w:rsid w:val="00073F87"/>
    <w:rsid w:val="00073FD3"/>
    <w:rsid w:val="00074957"/>
    <w:rsid w:val="00075AD7"/>
    <w:rsid w:val="00076301"/>
    <w:rsid w:val="000764CA"/>
    <w:rsid w:val="00076D1A"/>
    <w:rsid w:val="000770AE"/>
    <w:rsid w:val="00077144"/>
    <w:rsid w:val="00077D97"/>
    <w:rsid w:val="000803A7"/>
    <w:rsid w:val="000811E0"/>
    <w:rsid w:val="000821E3"/>
    <w:rsid w:val="00082621"/>
    <w:rsid w:val="00083166"/>
    <w:rsid w:val="0008386A"/>
    <w:rsid w:val="00083CCA"/>
    <w:rsid w:val="00083CD8"/>
    <w:rsid w:val="00083D47"/>
    <w:rsid w:val="00084E1C"/>
    <w:rsid w:val="00085065"/>
    <w:rsid w:val="00085CE9"/>
    <w:rsid w:val="00086930"/>
    <w:rsid w:val="000876E3"/>
    <w:rsid w:val="00087FC4"/>
    <w:rsid w:val="0009010A"/>
    <w:rsid w:val="00090190"/>
    <w:rsid w:val="000906BA"/>
    <w:rsid w:val="00090ADC"/>
    <w:rsid w:val="00090BAF"/>
    <w:rsid w:val="00090DBE"/>
    <w:rsid w:val="00091234"/>
    <w:rsid w:val="00091646"/>
    <w:rsid w:val="00091694"/>
    <w:rsid w:val="0009286D"/>
    <w:rsid w:val="00092911"/>
    <w:rsid w:val="00092C0C"/>
    <w:rsid w:val="000935A5"/>
    <w:rsid w:val="0009381C"/>
    <w:rsid w:val="00093C2E"/>
    <w:rsid w:val="00093D1D"/>
    <w:rsid w:val="00094184"/>
    <w:rsid w:val="0009465B"/>
    <w:rsid w:val="00095B49"/>
    <w:rsid w:val="00095C36"/>
    <w:rsid w:val="00095CEC"/>
    <w:rsid w:val="00095DF4"/>
    <w:rsid w:val="000960AE"/>
    <w:rsid w:val="000961CD"/>
    <w:rsid w:val="00096983"/>
    <w:rsid w:val="00097015"/>
    <w:rsid w:val="00097174"/>
    <w:rsid w:val="00097514"/>
    <w:rsid w:val="00097562"/>
    <w:rsid w:val="00097605"/>
    <w:rsid w:val="000976CB"/>
    <w:rsid w:val="00097F57"/>
    <w:rsid w:val="000A099C"/>
    <w:rsid w:val="000A0CBF"/>
    <w:rsid w:val="000A1DFB"/>
    <w:rsid w:val="000A1E80"/>
    <w:rsid w:val="000A20EC"/>
    <w:rsid w:val="000A384B"/>
    <w:rsid w:val="000A387F"/>
    <w:rsid w:val="000A40DD"/>
    <w:rsid w:val="000A443D"/>
    <w:rsid w:val="000A4A29"/>
    <w:rsid w:val="000A4CC7"/>
    <w:rsid w:val="000A4F3A"/>
    <w:rsid w:val="000A538A"/>
    <w:rsid w:val="000A6EE2"/>
    <w:rsid w:val="000A7AA2"/>
    <w:rsid w:val="000A7D30"/>
    <w:rsid w:val="000A7EE4"/>
    <w:rsid w:val="000B0B6C"/>
    <w:rsid w:val="000B0CD0"/>
    <w:rsid w:val="000B0FBC"/>
    <w:rsid w:val="000B2020"/>
    <w:rsid w:val="000B20BD"/>
    <w:rsid w:val="000B2802"/>
    <w:rsid w:val="000B2D6D"/>
    <w:rsid w:val="000B31C2"/>
    <w:rsid w:val="000B3598"/>
    <w:rsid w:val="000B3883"/>
    <w:rsid w:val="000B42EB"/>
    <w:rsid w:val="000B4B67"/>
    <w:rsid w:val="000B55B5"/>
    <w:rsid w:val="000B6378"/>
    <w:rsid w:val="000B6E4E"/>
    <w:rsid w:val="000B7271"/>
    <w:rsid w:val="000B7BFD"/>
    <w:rsid w:val="000B7EE0"/>
    <w:rsid w:val="000C000A"/>
    <w:rsid w:val="000C063A"/>
    <w:rsid w:val="000C0B6F"/>
    <w:rsid w:val="000C0E86"/>
    <w:rsid w:val="000C1A11"/>
    <w:rsid w:val="000C21FC"/>
    <w:rsid w:val="000C22EA"/>
    <w:rsid w:val="000C288D"/>
    <w:rsid w:val="000C2AEA"/>
    <w:rsid w:val="000C3A05"/>
    <w:rsid w:val="000C3D0E"/>
    <w:rsid w:val="000C43B9"/>
    <w:rsid w:val="000C44FC"/>
    <w:rsid w:val="000C4C95"/>
    <w:rsid w:val="000C5B26"/>
    <w:rsid w:val="000C5C69"/>
    <w:rsid w:val="000C60F0"/>
    <w:rsid w:val="000C6349"/>
    <w:rsid w:val="000C6BBC"/>
    <w:rsid w:val="000C6F2C"/>
    <w:rsid w:val="000C6F74"/>
    <w:rsid w:val="000C7096"/>
    <w:rsid w:val="000C7190"/>
    <w:rsid w:val="000C72E1"/>
    <w:rsid w:val="000C730A"/>
    <w:rsid w:val="000C7560"/>
    <w:rsid w:val="000C7C94"/>
    <w:rsid w:val="000D0FB3"/>
    <w:rsid w:val="000D12C8"/>
    <w:rsid w:val="000D1DD3"/>
    <w:rsid w:val="000D20FB"/>
    <w:rsid w:val="000D41B1"/>
    <w:rsid w:val="000D4430"/>
    <w:rsid w:val="000D46DB"/>
    <w:rsid w:val="000D474F"/>
    <w:rsid w:val="000D49BC"/>
    <w:rsid w:val="000D4D57"/>
    <w:rsid w:val="000D54EF"/>
    <w:rsid w:val="000D5761"/>
    <w:rsid w:val="000D5858"/>
    <w:rsid w:val="000D5983"/>
    <w:rsid w:val="000D5E39"/>
    <w:rsid w:val="000D5E69"/>
    <w:rsid w:val="000D5FB8"/>
    <w:rsid w:val="000D6155"/>
    <w:rsid w:val="000D62BD"/>
    <w:rsid w:val="000D6670"/>
    <w:rsid w:val="000D71B7"/>
    <w:rsid w:val="000D75B4"/>
    <w:rsid w:val="000D75BF"/>
    <w:rsid w:val="000D7BA0"/>
    <w:rsid w:val="000D7E4A"/>
    <w:rsid w:val="000E0624"/>
    <w:rsid w:val="000E0C3C"/>
    <w:rsid w:val="000E1220"/>
    <w:rsid w:val="000E19FB"/>
    <w:rsid w:val="000E1B10"/>
    <w:rsid w:val="000E203F"/>
    <w:rsid w:val="000E242B"/>
    <w:rsid w:val="000E2EB4"/>
    <w:rsid w:val="000E3599"/>
    <w:rsid w:val="000E3836"/>
    <w:rsid w:val="000E398B"/>
    <w:rsid w:val="000E3A78"/>
    <w:rsid w:val="000E3B2C"/>
    <w:rsid w:val="000E43CD"/>
    <w:rsid w:val="000E4AC4"/>
    <w:rsid w:val="000E5514"/>
    <w:rsid w:val="000E5CB5"/>
    <w:rsid w:val="000E606D"/>
    <w:rsid w:val="000E6325"/>
    <w:rsid w:val="000E65B1"/>
    <w:rsid w:val="000E69EF"/>
    <w:rsid w:val="000E7271"/>
    <w:rsid w:val="000E7443"/>
    <w:rsid w:val="000F0100"/>
    <w:rsid w:val="000F25E4"/>
    <w:rsid w:val="000F2785"/>
    <w:rsid w:val="000F29AC"/>
    <w:rsid w:val="000F2C73"/>
    <w:rsid w:val="000F2C9E"/>
    <w:rsid w:val="000F3677"/>
    <w:rsid w:val="000F3E6D"/>
    <w:rsid w:val="000F52A8"/>
    <w:rsid w:val="000F531E"/>
    <w:rsid w:val="000F5759"/>
    <w:rsid w:val="000F58E6"/>
    <w:rsid w:val="000F5E2B"/>
    <w:rsid w:val="000F6D9F"/>
    <w:rsid w:val="000F73C0"/>
    <w:rsid w:val="000F74A4"/>
    <w:rsid w:val="000F792E"/>
    <w:rsid w:val="001001D7"/>
    <w:rsid w:val="0010088D"/>
    <w:rsid w:val="001012EF"/>
    <w:rsid w:val="00102EF3"/>
    <w:rsid w:val="00103586"/>
    <w:rsid w:val="00103A48"/>
    <w:rsid w:val="00104956"/>
    <w:rsid w:val="00104A44"/>
    <w:rsid w:val="00104CDC"/>
    <w:rsid w:val="00105315"/>
    <w:rsid w:val="00105E4C"/>
    <w:rsid w:val="00105F48"/>
    <w:rsid w:val="00106696"/>
    <w:rsid w:val="00106CBE"/>
    <w:rsid w:val="00107053"/>
    <w:rsid w:val="00107265"/>
    <w:rsid w:val="001078B0"/>
    <w:rsid w:val="00110CD8"/>
    <w:rsid w:val="00110EC2"/>
    <w:rsid w:val="0011102E"/>
    <w:rsid w:val="00111275"/>
    <w:rsid w:val="00112DE6"/>
    <w:rsid w:val="001135CE"/>
    <w:rsid w:val="00114406"/>
    <w:rsid w:val="0011452B"/>
    <w:rsid w:val="00114FFA"/>
    <w:rsid w:val="00115C15"/>
    <w:rsid w:val="00115DDB"/>
    <w:rsid w:val="0011674D"/>
    <w:rsid w:val="00117CC1"/>
    <w:rsid w:val="00120424"/>
    <w:rsid w:val="00120B3A"/>
    <w:rsid w:val="00120C73"/>
    <w:rsid w:val="0012111F"/>
    <w:rsid w:val="001211EF"/>
    <w:rsid w:val="00121CB2"/>
    <w:rsid w:val="00121EB7"/>
    <w:rsid w:val="001221C9"/>
    <w:rsid w:val="00122F7F"/>
    <w:rsid w:val="001236E2"/>
    <w:rsid w:val="00123B84"/>
    <w:rsid w:val="0012420F"/>
    <w:rsid w:val="00124233"/>
    <w:rsid w:val="0012439C"/>
    <w:rsid w:val="00124592"/>
    <w:rsid w:val="00124997"/>
    <w:rsid w:val="00124D78"/>
    <w:rsid w:val="00124DE5"/>
    <w:rsid w:val="001251B0"/>
    <w:rsid w:val="001254E7"/>
    <w:rsid w:val="00125751"/>
    <w:rsid w:val="00125900"/>
    <w:rsid w:val="00125C4B"/>
    <w:rsid w:val="0012634E"/>
    <w:rsid w:val="00126E6D"/>
    <w:rsid w:val="00127ACC"/>
    <w:rsid w:val="00130C51"/>
    <w:rsid w:val="00130FAA"/>
    <w:rsid w:val="00131433"/>
    <w:rsid w:val="00131867"/>
    <w:rsid w:val="00132F69"/>
    <w:rsid w:val="00133834"/>
    <w:rsid w:val="00134560"/>
    <w:rsid w:val="00134E83"/>
    <w:rsid w:val="00135A47"/>
    <w:rsid w:val="00136131"/>
    <w:rsid w:val="0013667A"/>
    <w:rsid w:val="00136F60"/>
    <w:rsid w:val="00137470"/>
    <w:rsid w:val="001379B2"/>
    <w:rsid w:val="0014056F"/>
    <w:rsid w:val="00140E92"/>
    <w:rsid w:val="00140EEA"/>
    <w:rsid w:val="001410DA"/>
    <w:rsid w:val="001415AF"/>
    <w:rsid w:val="001417BE"/>
    <w:rsid w:val="0014319C"/>
    <w:rsid w:val="0014359E"/>
    <w:rsid w:val="0014374C"/>
    <w:rsid w:val="00143E6D"/>
    <w:rsid w:val="00144A70"/>
    <w:rsid w:val="001451DB"/>
    <w:rsid w:val="00145FF4"/>
    <w:rsid w:val="0014622F"/>
    <w:rsid w:val="001467E4"/>
    <w:rsid w:val="001469B2"/>
    <w:rsid w:val="001470DD"/>
    <w:rsid w:val="001509DE"/>
    <w:rsid w:val="00151661"/>
    <w:rsid w:val="00152349"/>
    <w:rsid w:val="0015240C"/>
    <w:rsid w:val="00152CC8"/>
    <w:rsid w:val="00152EAF"/>
    <w:rsid w:val="00152FDA"/>
    <w:rsid w:val="0015392F"/>
    <w:rsid w:val="0015410F"/>
    <w:rsid w:val="0015451C"/>
    <w:rsid w:val="00154835"/>
    <w:rsid w:val="001552CA"/>
    <w:rsid w:val="001553BE"/>
    <w:rsid w:val="001562A1"/>
    <w:rsid w:val="00157F2F"/>
    <w:rsid w:val="00160D7C"/>
    <w:rsid w:val="00161323"/>
    <w:rsid w:val="00162934"/>
    <w:rsid w:val="00162B2E"/>
    <w:rsid w:val="00162BEB"/>
    <w:rsid w:val="00162E55"/>
    <w:rsid w:val="001630CE"/>
    <w:rsid w:val="00163236"/>
    <w:rsid w:val="00163E6F"/>
    <w:rsid w:val="00163E99"/>
    <w:rsid w:val="00164A0C"/>
    <w:rsid w:val="00164E15"/>
    <w:rsid w:val="0016592C"/>
    <w:rsid w:val="001667CA"/>
    <w:rsid w:val="001667D4"/>
    <w:rsid w:val="0017089F"/>
    <w:rsid w:val="00170B5C"/>
    <w:rsid w:val="00170CAC"/>
    <w:rsid w:val="001714BF"/>
    <w:rsid w:val="0017181D"/>
    <w:rsid w:val="00171A71"/>
    <w:rsid w:val="00171DE2"/>
    <w:rsid w:val="00172039"/>
    <w:rsid w:val="00172A18"/>
    <w:rsid w:val="001734A9"/>
    <w:rsid w:val="00173AA5"/>
    <w:rsid w:val="00173C12"/>
    <w:rsid w:val="00174FC9"/>
    <w:rsid w:val="001758D4"/>
    <w:rsid w:val="00175DC3"/>
    <w:rsid w:val="00175DE4"/>
    <w:rsid w:val="00176236"/>
    <w:rsid w:val="00176D72"/>
    <w:rsid w:val="00177846"/>
    <w:rsid w:val="0018030C"/>
    <w:rsid w:val="0018129F"/>
    <w:rsid w:val="0018130E"/>
    <w:rsid w:val="001819F2"/>
    <w:rsid w:val="0018231E"/>
    <w:rsid w:val="00182341"/>
    <w:rsid w:val="0018250C"/>
    <w:rsid w:val="00182E4B"/>
    <w:rsid w:val="00183038"/>
    <w:rsid w:val="00183B08"/>
    <w:rsid w:val="00184292"/>
    <w:rsid w:val="00184AE0"/>
    <w:rsid w:val="001860CD"/>
    <w:rsid w:val="001862D1"/>
    <w:rsid w:val="0018648E"/>
    <w:rsid w:val="0018683F"/>
    <w:rsid w:val="0018766E"/>
    <w:rsid w:val="00187692"/>
    <w:rsid w:val="00187AE4"/>
    <w:rsid w:val="00187B54"/>
    <w:rsid w:val="0019007F"/>
    <w:rsid w:val="0019038F"/>
    <w:rsid w:val="00190963"/>
    <w:rsid w:val="00190D72"/>
    <w:rsid w:val="00191184"/>
    <w:rsid w:val="0019135D"/>
    <w:rsid w:val="0019262C"/>
    <w:rsid w:val="00192832"/>
    <w:rsid w:val="001929EE"/>
    <w:rsid w:val="00192F9D"/>
    <w:rsid w:val="00193438"/>
    <w:rsid w:val="0019482F"/>
    <w:rsid w:val="00194C31"/>
    <w:rsid w:val="00195491"/>
    <w:rsid w:val="001956D0"/>
    <w:rsid w:val="00195ED9"/>
    <w:rsid w:val="0019606C"/>
    <w:rsid w:val="001963C9"/>
    <w:rsid w:val="0019787C"/>
    <w:rsid w:val="001979BA"/>
    <w:rsid w:val="001A00C8"/>
    <w:rsid w:val="001A0F0D"/>
    <w:rsid w:val="001A0FBB"/>
    <w:rsid w:val="001A1AAA"/>
    <w:rsid w:val="001A1C35"/>
    <w:rsid w:val="001A21CB"/>
    <w:rsid w:val="001A246A"/>
    <w:rsid w:val="001A2610"/>
    <w:rsid w:val="001A2CCA"/>
    <w:rsid w:val="001A45C9"/>
    <w:rsid w:val="001A56E6"/>
    <w:rsid w:val="001A5EF4"/>
    <w:rsid w:val="001A64F2"/>
    <w:rsid w:val="001A6579"/>
    <w:rsid w:val="001A68BC"/>
    <w:rsid w:val="001A6C37"/>
    <w:rsid w:val="001A71E7"/>
    <w:rsid w:val="001A78F4"/>
    <w:rsid w:val="001B004D"/>
    <w:rsid w:val="001B0CFB"/>
    <w:rsid w:val="001B25C0"/>
    <w:rsid w:val="001B2A46"/>
    <w:rsid w:val="001B32DF"/>
    <w:rsid w:val="001B355F"/>
    <w:rsid w:val="001B3B94"/>
    <w:rsid w:val="001B4572"/>
    <w:rsid w:val="001B4814"/>
    <w:rsid w:val="001B4ABA"/>
    <w:rsid w:val="001B5852"/>
    <w:rsid w:val="001B5D43"/>
    <w:rsid w:val="001B5F57"/>
    <w:rsid w:val="001B5F95"/>
    <w:rsid w:val="001B7F56"/>
    <w:rsid w:val="001C0139"/>
    <w:rsid w:val="001C0E72"/>
    <w:rsid w:val="001C1589"/>
    <w:rsid w:val="001C1D4B"/>
    <w:rsid w:val="001C1F95"/>
    <w:rsid w:val="001C20FA"/>
    <w:rsid w:val="001C2140"/>
    <w:rsid w:val="001C3D60"/>
    <w:rsid w:val="001C490D"/>
    <w:rsid w:val="001C4BE6"/>
    <w:rsid w:val="001C4DD3"/>
    <w:rsid w:val="001C53D0"/>
    <w:rsid w:val="001C553D"/>
    <w:rsid w:val="001C5AC7"/>
    <w:rsid w:val="001C628E"/>
    <w:rsid w:val="001C6B79"/>
    <w:rsid w:val="001C7071"/>
    <w:rsid w:val="001C7479"/>
    <w:rsid w:val="001C75DC"/>
    <w:rsid w:val="001D0586"/>
    <w:rsid w:val="001D0D8C"/>
    <w:rsid w:val="001D1FFC"/>
    <w:rsid w:val="001D3214"/>
    <w:rsid w:val="001D35CC"/>
    <w:rsid w:val="001D3B27"/>
    <w:rsid w:val="001D3B29"/>
    <w:rsid w:val="001D3FD7"/>
    <w:rsid w:val="001D40DE"/>
    <w:rsid w:val="001D477F"/>
    <w:rsid w:val="001D48F7"/>
    <w:rsid w:val="001D5A4F"/>
    <w:rsid w:val="001D5E1B"/>
    <w:rsid w:val="001D69B7"/>
    <w:rsid w:val="001D6BB5"/>
    <w:rsid w:val="001D6DBE"/>
    <w:rsid w:val="001D780B"/>
    <w:rsid w:val="001E03A7"/>
    <w:rsid w:val="001E1F75"/>
    <w:rsid w:val="001E1FBD"/>
    <w:rsid w:val="001E2662"/>
    <w:rsid w:val="001E3223"/>
    <w:rsid w:val="001E3458"/>
    <w:rsid w:val="001E346E"/>
    <w:rsid w:val="001E3516"/>
    <w:rsid w:val="001E37AD"/>
    <w:rsid w:val="001E3846"/>
    <w:rsid w:val="001E3961"/>
    <w:rsid w:val="001E3E7C"/>
    <w:rsid w:val="001E3EB7"/>
    <w:rsid w:val="001E4012"/>
    <w:rsid w:val="001E4595"/>
    <w:rsid w:val="001E46A0"/>
    <w:rsid w:val="001E47C4"/>
    <w:rsid w:val="001E4E62"/>
    <w:rsid w:val="001E58D8"/>
    <w:rsid w:val="001E5F59"/>
    <w:rsid w:val="001E6172"/>
    <w:rsid w:val="001E6EF9"/>
    <w:rsid w:val="001E7049"/>
    <w:rsid w:val="001E73C6"/>
    <w:rsid w:val="001E75EE"/>
    <w:rsid w:val="001E7F7C"/>
    <w:rsid w:val="001F0D31"/>
    <w:rsid w:val="001F12BA"/>
    <w:rsid w:val="001F15B5"/>
    <w:rsid w:val="001F216C"/>
    <w:rsid w:val="001F23C4"/>
    <w:rsid w:val="001F23CB"/>
    <w:rsid w:val="001F37D4"/>
    <w:rsid w:val="001F3BB3"/>
    <w:rsid w:val="001F406D"/>
    <w:rsid w:val="001F4C7A"/>
    <w:rsid w:val="001F4DDC"/>
    <w:rsid w:val="001F59A0"/>
    <w:rsid w:val="001F6A4E"/>
    <w:rsid w:val="001F6D91"/>
    <w:rsid w:val="001F6F23"/>
    <w:rsid w:val="001F73E6"/>
    <w:rsid w:val="001F7967"/>
    <w:rsid w:val="001F7D95"/>
    <w:rsid w:val="00200180"/>
    <w:rsid w:val="00200A2B"/>
    <w:rsid w:val="00200BBE"/>
    <w:rsid w:val="002012E6"/>
    <w:rsid w:val="00201309"/>
    <w:rsid w:val="00201E8D"/>
    <w:rsid w:val="00202F21"/>
    <w:rsid w:val="00203304"/>
    <w:rsid w:val="002035C0"/>
    <w:rsid w:val="002044CA"/>
    <w:rsid w:val="00204F9C"/>
    <w:rsid w:val="002055D9"/>
    <w:rsid w:val="00205EBD"/>
    <w:rsid w:val="002061D0"/>
    <w:rsid w:val="002062CF"/>
    <w:rsid w:val="00206D3C"/>
    <w:rsid w:val="00207032"/>
    <w:rsid w:val="00207E24"/>
    <w:rsid w:val="00207F6B"/>
    <w:rsid w:val="0021012A"/>
    <w:rsid w:val="0021025F"/>
    <w:rsid w:val="002108CF"/>
    <w:rsid w:val="00210DFE"/>
    <w:rsid w:val="00210FD9"/>
    <w:rsid w:val="00211556"/>
    <w:rsid w:val="00212166"/>
    <w:rsid w:val="002122B7"/>
    <w:rsid w:val="00212BFE"/>
    <w:rsid w:val="00212CB9"/>
    <w:rsid w:val="0021354D"/>
    <w:rsid w:val="00213ADE"/>
    <w:rsid w:val="00213D46"/>
    <w:rsid w:val="00214BE9"/>
    <w:rsid w:val="00215644"/>
    <w:rsid w:val="0021587C"/>
    <w:rsid w:val="00215ECB"/>
    <w:rsid w:val="002160C4"/>
    <w:rsid w:val="0021653C"/>
    <w:rsid w:val="00216A23"/>
    <w:rsid w:val="00216EF6"/>
    <w:rsid w:val="002173EC"/>
    <w:rsid w:val="00217755"/>
    <w:rsid w:val="00217CCD"/>
    <w:rsid w:val="00220304"/>
    <w:rsid w:val="002203F6"/>
    <w:rsid w:val="00221300"/>
    <w:rsid w:val="00221828"/>
    <w:rsid w:val="00221D3E"/>
    <w:rsid w:val="00222216"/>
    <w:rsid w:val="002226C4"/>
    <w:rsid w:val="002226DA"/>
    <w:rsid w:val="002232F6"/>
    <w:rsid w:val="002233C6"/>
    <w:rsid w:val="00224112"/>
    <w:rsid w:val="0022483B"/>
    <w:rsid w:val="00224889"/>
    <w:rsid w:val="00224CD6"/>
    <w:rsid w:val="00225534"/>
    <w:rsid w:val="002255CB"/>
    <w:rsid w:val="002256B6"/>
    <w:rsid w:val="00226030"/>
    <w:rsid w:val="002267C1"/>
    <w:rsid w:val="00226804"/>
    <w:rsid w:val="00226879"/>
    <w:rsid w:val="00227264"/>
    <w:rsid w:val="00227B30"/>
    <w:rsid w:val="00227F81"/>
    <w:rsid w:val="002300C5"/>
    <w:rsid w:val="0023014D"/>
    <w:rsid w:val="002314DD"/>
    <w:rsid w:val="002315AB"/>
    <w:rsid w:val="0023224C"/>
    <w:rsid w:val="002324D3"/>
    <w:rsid w:val="00232A21"/>
    <w:rsid w:val="00232CD3"/>
    <w:rsid w:val="00233108"/>
    <w:rsid w:val="00233157"/>
    <w:rsid w:val="00233564"/>
    <w:rsid w:val="00233CC8"/>
    <w:rsid w:val="00233EB5"/>
    <w:rsid w:val="0023468F"/>
    <w:rsid w:val="00234CA2"/>
    <w:rsid w:val="00235DE3"/>
    <w:rsid w:val="002363F4"/>
    <w:rsid w:val="00236868"/>
    <w:rsid w:val="00237374"/>
    <w:rsid w:val="00237A60"/>
    <w:rsid w:val="00240739"/>
    <w:rsid w:val="00240864"/>
    <w:rsid w:val="002409D3"/>
    <w:rsid w:val="00240DD0"/>
    <w:rsid w:val="00240EA4"/>
    <w:rsid w:val="002411C6"/>
    <w:rsid w:val="0024204B"/>
    <w:rsid w:val="002424DD"/>
    <w:rsid w:val="00242554"/>
    <w:rsid w:val="002436B1"/>
    <w:rsid w:val="002439C2"/>
    <w:rsid w:val="00243F19"/>
    <w:rsid w:val="00244027"/>
    <w:rsid w:val="00244150"/>
    <w:rsid w:val="0024527C"/>
    <w:rsid w:val="00245F4B"/>
    <w:rsid w:val="00246B15"/>
    <w:rsid w:val="00247CCE"/>
    <w:rsid w:val="002500BE"/>
    <w:rsid w:val="002507FA"/>
    <w:rsid w:val="0025130B"/>
    <w:rsid w:val="00251406"/>
    <w:rsid w:val="00251D50"/>
    <w:rsid w:val="00252C75"/>
    <w:rsid w:val="00252EC8"/>
    <w:rsid w:val="00252FA8"/>
    <w:rsid w:val="002536D2"/>
    <w:rsid w:val="00253D6A"/>
    <w:rsid w:val="00253DD9"/>
    <w:rsid w:val="0025461C"/>
    <w:rsid w:val="0025481E"/>
    <w:rsid w:val="00254EF8"/>
    <w:rsid w:val="00255023"/>
    <w:rsid w:val="00255F13"/>
    <w:rsid w:val="002568C7"/>
    <w:rsid w:val="00257F05"/>
    <w:rsid w:val="0026018F"/>
    <w:rsid w:val="00260523"/>
    <w:rsid w:val="00260BE9"/>
    <w:rsid w:val="00260C20"/>
    <w:rsid w:val="00261F1E"/>
    <w:rsid w:val="002621CC"/>
    <w:rsid w:val="002622DC"/>
    <w:rsid w:val="00262FB7"/>
    <w:rsid w:val="00263496"/>
    <w:rsid w:val="00263568"/>
    <w:rsid w:val="00263AF3"/>
    <w:rsid w:val="00263D21"/>
    <w:rsid w:val="00263DFB"/>
    <w:rsid w:val="00264B74"/>
    <w:rsid w:val="00264C5D"/>
    <w:rsid w:val="00264E7A"/>
    <w:rsid w:val="002652C6"/>
    <w:rsid w:val="002660AA"/>
    <w:rsid w:val="0026645E"/>
    <w:rsid w:val="0026662C"/>
    <w:rsid w:val="00266852"/>
    <w:rsid w:val="0026727F"/>
    <w:rsid w:val="00267DCE"/>
    <w:rsid w:val="00267DE1"/>
    <w:rsid w:val="00270728"/>
    <w:rsid w:val="00270738"/>
    <w:rsid w:val="00271268"/>
    <w:rsid w:val="002722BB"/>
    <w:rsid w:val="002722DD"/>
    <w:rsid w:val="00272368"/>
    <w:rsid w:val="00273759"/>
    <w:rsid w:val="00275605"/>
    <w:rsid w:val="002762CD"/>
    <w:rsid w:val="00276617"/>
    <w:rsid w:val="002775E8"/>
    <w:rsid w:val="00277FE0"/>
    <w:rsid w:val="00280D7C"/>
    <w:rsid w:val="00281577"/>
    <w:rsid w:val="00281E5B"/>
    <w:rsid w:val="0028234F"/>
    <w:rsid w:val="0028312E"/>
    <w:rsid w:val="0028353B"/>
    <w:rsid w:val="00283B37"/>
    <w:rsid w:val="00283E4A"/>
    <w:rsid w:val="002844F5"/>
    <w:rsid w:val="002850D0"/>
    <w:rsid w:val="00286487"/>
    <w:rsid w:val="00286B52"/>
    <w:rsid w:val="00286CE4"/>
    <w:rsid w:val="00286E80"/>
    <w:rsid w:val="0028743F"/>
    <w:rsid w:val="0028768E"/>
    <w:rsid w:val="0028796E"/>
    <w:rsid w:val="0029040A"/>
    <w:rsid w:val="00290B6E"/>
    <w:rsid w:val="0029199D"/>
    <w:rsid w:val="00291E4B"/>
    <w:rsid w:val="00292309"/>
    <w:rsid w:val="00292DEA"/>
    <w:rsid w:val="0029318B"/>
    <w:rsid w:val="002931A6"/>
    <w:rsid w:val="0029330C"/>
    <w:rsid w:val="00293AC1"/>
    <w:rsid w:val="00293B59"/>
    <w:rsid w:val="00293CF5"/>
    <w:rsid w:val="00293E09"/>
    <w:rsid w:val="0029618F"/>
    <w:rsid w:val="002965D4"/>
    <w:rsid w:val="002969C5"/>
    <w:rsid w:val="00297CD0"/>
    <w:rsid w:val="00297DAE"/>
    <w:rsid w:val="00297E0E"/>
    <w:rsid w:val="002A0237"/>
    <w:rsid w:val="002A0B67"/>
    <w:rsid w:val="002A11FF"/>
    <w:rsid w:val="002A1A8A"/>
    <w:rsid w:val="002A366B"/>
    <w:rsid w:val="002A40BE"/>
    <w:rsid w:val="002A4A30"/>
    <w:rsid w:val="002A4AD6"/>
    <w:rsid w:val="002A4B2A"/>
    <w:rsid w:val="002A4E27"/>
    <w:rsid w:val="002A5E22"/>
    <w:rsid w:val="002A6418"/>
    <w:rsid w:val="002A7BC9"/>
    <w:rsid w:val="002B0595"/>
    <w:rsid w:val="002B18F8"/>
    <w:rsid w:val="002B1968"/>
    <w:rsid w:val="002B19FC"/>
    <w:rsid w:val="002B1C5E"/>
    <w:rsid w:val="002B1ED9"/>
    <w:rsid w:val="002B2D54"/>
    <w:rsid w:val="002B3255"/>
    <w:rsid w:val="002B366F"/>
    <w:rsid w:val="002B3FAB"/>
    <w:rsid w:val="002B41A7"/>
    <w:rsid w:val="002B4FA7"/>
    <w:rsid w:val="002B53E9"/>
    <w:rsid w:val="002B76B0"/>
    <w:rsid w:val="002B7BEA"/>
    <w:rsid w:val="002C26DE"/>
    <w:rsid w:val="002C3602"/>
    <w:rsid w:val="002C3718"/>
    <w:rsid w:val="002C4929"/>
    <w:rsid w:val="002C4946"/>
    <w:rsid w:val="002C60C1"/>
    <w:rsid w:val="002C6D97"/>
    <w:rsid w:val="002C71D7"/>
    <w:rsid w:val="002D0BE2"/>
    <w:rsid w:val="002D13B9"/>
    <w:rsid w:val="002D1685"/>
    <w:rsid w:val="002D3038"/>
    <w:rsid w:val="002D30D1"/>
    <w:rsid w:val="002D32A3"/>
    <w:rsid w:val="002D3F64"/>
    <w:rsid w:val="002D459B"/>
    <w:rsid w:val="002D4AB4"/>
    <w:rsid w:val="002D54E0"/>
    <w:rsid w:val="002D5608"/>
    <w:rsid w:val="002D6054"/>
    <w:rsid w:val="002D60BD"/>
    <w:rsid w:val="002D62C3"/>
    <w:rsid w:val="002D7CFA"/>
    <w:rsid w:val="002E00CF"/>
    <w:rsid w:val="002E038F"/>
    <w:rsid w:val="002E0E6A"/>
    <w:rsid w:val="002E12ED"/>
    <w:rsid w:val="002E381B"/>
    <w:rsid w:val="002E3BD9"/>
    <w:rsid w:val="002E52F8"/>
    <w:rsid w:val="002E5F32"/>
    <w:rsid w:val="002E6072"/>
    <w:rsid w:val="002E6102"/>
    <w:rsid w:val="002E6268"/>
    <w:rsid w:val="002E6579"/>
    <w:rsid w:val="002E6761"/>
    <w:rsid w:val="002F0414"/>
    <w:rsid w:val="002F05AF"/>
    <w:rsid w:val="002F12AB"/>
    <w:rsid w:val="002F25DC"/>
    <w:rsid w:val="002F261C"/>
    <w:rsid w:val="002F2AE6"/>
    <w:rsid w:val="002F3021"/>
    <w:rsid w:val="002F36D2"/>
    <w:rsid w:val="002F3AF2"/>
    <w:rsid w:val="002F4622"/>
    <w:rsid w:val="002F478C"/>
    <w:rsid w:val="002F586F"/>
    <w:rsid w:val="002F58FF"/>
    <w:rsid w:val="002F7207"/>
    <w:rsid w:val="002F79D2"/>
    <w:rsid w:val="002F7DC6"/>
    <w:rsid w:val="0030057C"/>
    <w:rsid w:val="003005D1"/>
    <w:rsid w:val="0030062E"/>
    <w:rsid w:val="00300C2C"/>
    <w:rsid w:val="00300C55"/>
    <w:rsid w:val="003012DF"/>
    <w:rsid w:val="00301A9C"/>
    <w:rsid w:val="003030FD"/>
    <w:rsid w:val="00304503"/>
    <w:rsid w:val="003045D5"/>
    <w:rsid w:val="00304D06"/>
    <w:rsid w:val="003050AC"/>
    <w:rsid w:val="00305742"/>
    <w:rsid w:val="00305BC1"/>
    <w:rsid w:val="0030625E"/>
    <w:rsid w:val="0030630A"/>
    <w:rsid w:val="003066FE"/>
    <w:rsid w:val="003067D1"/>
    <w:rsid w:val="0030768C"/>
    <w:rsid w:val="00307764"/>
    <w:rsid w:val="0030787B"/>
    <w:rsid w:val="00310A2E"/>
    <w:rsid w:val="00310E6F"/>
    <w:rsid w:val="003112B0"/>
    <w:rsid w:val="00312753"/>
    <w:rsid w:val="00312984"/>
    <w:rsid w:val="003129C8"/>
    <w:rsid w:val="00312BD7"/>
    <w:rsid w:val="00312DCA"/>
    <w:rsid w:val="00312F63"/>
    <w:rsid w:val="00312F74"/>
    <w:rsid w:val="0031368A"/>
    <w:rsid w:val="003143B2"/>
    <w:rsid w:val="003145E4"/>
    <w:rsid w:val="00315385"/>
    <w:rsid w:val="00315674"/>
    <w:rsid w:val="00315AF0"/>
    <w:rsid w:val="003162E2"/>
    <w:rsid w:val="00316A44"/>
    <w:rsid w:val="00316B2F"/>
    <w:rsid w:val="00316E69"/>
    <w:rsid w:val="00316F5B"/>
    <w:rsid w:val="0031704E"/>
    <w:rsid w:val="00317614"/>
    <w:rsid w:val="0031767E"/>
    <w:rsid w:val="003179D3"/>
    <w:rsid w:val="003206D1"/>
    <w:rsid w:val="00320730"/>
    <w:rsid w:val="00320F31"/>
    <w:rsid w:val="00322B1C"/>
    <w:rsid w:val="00322C0D"/>
    <w:rsid w:val="00322C7D"/>
    <w:rsid w:val="00324BDE"/>
    <w:rsid w:val="003258AC"/>
    <w:rsid w:val="00325DAF"/>
    <w:rsid w:val="0032648B"/>
    <w:rsid w:val="00326B10"/>
    <w:rsid w:val="00326B1A"/>
    <w:rsid w:val="00326D53"/>
    <w:rsid w:val="003277EA"/>
    <w:rsid w:val="00330006"/>
    <w:rsid w:val="00330AEC"/>
    <w:rsid w:val="0033106B"/>
    <w:rsid w:val="003311F2"/>
    <w:rsid w:val="00331B63"/>
    <w:rsid w:val="00331DC2"/>
    <w:rsid w:val="0033218F"/>
    <w:rsid w:val="003324C2"/>
    <w:rsid w:val="0033282C"/>
    <w:rsid w:val="00333A85"/>
    <w:rsid w:val="00333DE4"/>
    <w:rsid w:val="00333EF0"/>
    <w:rsid w:val="00334238"/>
    <w:rsid w:val="003343A5"/>
    <w:rsid w:val="00334947"/>
    <w:rsid w:val="003349BA"/>
    <w:rsid w:val="003349E7"/>
    <w:rsid w:val="00334C4B"/>
    <w:rsid w:val="00335118"/>
    <w:rsid w:val="0033579B"/>
    <w:rsid w:val="00335A27"/>
    <w:rsid w:val="00335A31"/>
    <w:rsid w:val="00335C50"/>
    <w:rsid w:val="003371C4"/>
    <w:rsid w:val="00337231"/>
    <w:rsid w:val="00337A50"/>
    <w:rsid w:val="00337D4B"/>
    <w:rsid w:val="00340976"/>
    <w:rsid w:val="003425FE"/>
    <w:rsid w:val="00343709"/>
    <w:rsid w:val="00343B45"/>
    <w:rsid w:val="003442CA"/>
    <w:rsid w:val="00344D71"/>
    <w:rsid w:val="00345321"/>
    <w:rsid w:val="003453FC"/>
    <w:rsid w:val="00345445"/>
    <w:rsid w:val="003454E6"/>
    <w:rsid w:val="00345753"/>
    <w:rsid w:val="003459EE"/>
    <w:rsid w:val="00346197"/>
    <w:rsid w:val="003463C1"/>
    <w:rsid w:val="00346E42"/>
    <w:rsid w:val="00346F5A"/>
    <w:rsid w:val="003470A0"/>
    <w:rsid w:val="00347ECF"/>
    <w:rsid w:val="00350B43"/>
    <w:rsid w:val="00351016"/>
    <w:rsid w:val="0035104B"/>
    <w:rsid w:val="00351BD5"/>
    <w:rsid w:val="0035256C"/>
    <w:rsid w:val="00352683"/>
    <w:rsid w:val="00352753"/>
    <w:rsid w:val="00352C5D"/>
    <w:rsid w:val="00352DE8"/>
    <w:rsid w:val="003536F8"/>
    <w:rsid w:val="00353CD2"/>
    <w:rsid w:val="00354EE6"/>
    <w:rsid w:val="00355492"/>
    <w:rsid w:val="003562AD"/>
    <w:rsid w:val="00356663"/>
    <w:rsid w:val="0035710E"/>
    <w:rsid w:val="00357348"/>
    <w:rsid w:val="00357B65"/>
    <w:rsid w:val="00357CB1"/>
    <w:rsid w:val="00357D3B"/>
    <w:rsid w:val="0036042C"/>
    <w:rsid w:val="00361289"/>
    <w:rsid w:val="003627E7"/>
    <w:rsid w:val="00363075"/>
    <w:rsid w:val="00365183"/>
    <w:rsid w:val="0036566F"/>
    <w:rsid w:val="00365A8E"/>
    <w:rsid w:val="00366182"/>
    <w:rsid w:val="0036637C"/>
    <w:rsid w:val="0036711C"/>
    <w:rsid w:val="00370D1F"/>
    <w:rsid w:val="003723D9"/>
    <w:rsid w:val="003724B3"/>
    <w:rsid w:val="00372760"/>
    <w:rsid w:val="00372810"/>
    <w:rsid w:val="00372F7D"/>
    <w:rsid w:val="00373570"/>
    <w:rsid w:val="003735A8"/>
    <w:rsid w:val="00373F61"/>
    <w:rsid w:val="00374116"/>
    <w:rsid w:val="003742CB"/>
    <w:rsid w:val="00374A61"/>
    <w:rsid w:val="00374CB3"/>
    <w:rsid w:val="003757BE"/>
    <w:rsid w:val="00375C75"/>
    <w:rsid w:val="00375EC7"/>
    <w:rsid w:val="00376133"/>
    <w:rsid w:val="003761B9"/>
    <w:rsid w:val="003765A0"/>
    <w:rsid w:val="00376EC9"/>
    <w:rsid w:val="00380CCF"/>
    <w:rsid w:val="00380E9B"/>
    <w:rsid w:val="00381326"/>
    <w:rsid w:val="00381609"/>
    <w:rsid w:val="00381DD7"/>
    <w:rsid w:val="00382C14"/>
    <w:rsid w:val="00382D42"/>
    <w:rsid w:val="003832BB"/>
    <w:rsid w:val="00383FB3"/>
    <w:rsid w:val="0038479D"/>
    <w:rsid w:val="00385543"/>
    <w:rsid w:val="00385C71"/>
    <w:rsid w:val="003876F3"/>
    <w:rsid w:val="00387773"/>
    <w:rsid w:val="00387CB8"/>
    <w:rsid w:val="00392148"/>
    <w:rsid w:val="00393689"/>
    <w:rsid w:val="003937BB"/>
    <w:rsid w:val="00393AF2"/>
    <w:rsid w:val="00394512"/>
    <w:rsid w:val="0039478A"/>
    <w:rsid w:val="00394889"/>
    <w:rsid w:val="00395648"/>
    <w:rsid w:val="00395AE6"/>
    <w:rsid w:val="003971C8"/>
    <w:rsid w:val="00397B50"/>
    <w:rsid w:val="00397D75"/>
    <w:rsid w:val="003A034C"/>
    <w:rsid w:val="003A0A6E"/>
    <w:rsid w:val="003A0D57"/>
    <w:rsid w:val="003A0E9B"/>
    <w:rsid w:val="003A1323"/>
    <w:rsid w:val="003A264A"/>
    <w:rsid w:val="003A2C18"/>
    <w:rsid w:val="003A2F9D"/>
    <w:rsid w:val="003A38D0"/>
    <w:rsid w:val="003A3FA8"/>
    <w:rsid w:val="003A4128"/>
    <w:rsid w:val="003A4222"/>
    <w:rsid w:val="003A45B9"/>
    <w:rsid w:val="003A49C8"/>
    <w:rsid w:val="003A51E8"/>
    <w:rsid w:val="003A5FA6"/>
    <w:rsid w:val="003A61AC"/>
    <w:rsid w:val="003A66C7"/>
    <w:rsid w:val="003B03BB"/>
    <w:rsid w:val="003B0421"/>
    <w:rsid w:val="003B0DB8"/>
    <w:rsid w:val="003B1065"/>
    <w:rsid w:val="003B14C2"/>
    <w:rsid w:val="003B1745"/>
    <w:rsid w:val="003B1A95"/>
    <w:rsid w:val="003B1A9F"/>
    <w:rsid w:val="003B1D91"/>
    <w:rsid w:val="003B250E"/>
    <w:rsid w:val="003B287E"/>
    <w:rsid w:val="003B4112"/>
    <w:rsid w:val="003B481E"/>
    <w:rsid w:val="003B5A63"/>
    <w:rsid w:val="003B5A6F"/>
    <w:rsid w:val="003B5F93"/>
    <w:rsid w:val="003B5FEA"/>
    <w:rsid w:val="003B6142"/>
    <w:rsid w:val="003B7348"/>
    <w:rsid w:val="003B772F"/>
    <w:rsid w:val="003B7FEB"/>
    <w:rsid w:val="003C0886"/>
    <w:rsid w:val="003C0D9F"/>
    <w:rsid w:val="003C102C"/>
    <w:rsid w:val="003C1534"/>
    <w:rsid w:val="003C1C13"/>
    <w:rsid w:val="003C3464"/>
    <w:rsid w:val="003C3B3F"/>
    <w:rsid w:val="003C3F25"/>
    <w:rsid w:val="003C4BB8"/>
    <w:rsid w:val="003C5207"/>
    <w:rsid w:val="003C5C2D"/>
    <w:rsid w:val="003C601B"/>
    <w:rsid w:val="003C662E"/>
    <w:rsid w:val="003C6EEF"/>
    <w:rsid w:val="003C71A9"/>
    <w:rsid w:val="003D0603"/>
    <w:rsid w:val="003D1F8B"/>
    <w:rsid w:val="003D1FA9"/>
    <w:rsid w:val="003D2297"/>
    <w:rsid w:val="003D2303"/>
    <w:rsid w:val="003D25CB"/>
    <w:rsid w:val="003D39D7"/>
    <w:rsid w:val="003D3B49"/>
    <w:rsid w:val="003D3D61"/>
    <w:rsid w:val="003D3E00"/>
    <w:rsid w:val="003D48B5"/>
    <w:rsid w:val="003D4D61"/>
    <w:rsid w:val="003D52B9"/>
    <w:rsid w:val="003D69F7"/>
    <w:rsid w:val="003D6BAA"/>
    <w:rsid w:val="003E0F7A"/>
    <w:rsid w:val="003E103E"/>
    <w:rsid w:val="003E121A"/>
    <w:rsid w:val="003E18DD"/>
    <w:rsid w:val="003E1D46"/>
    <w:rsid w:val="003E21E7"/>
    <w:rsid w:val="003E254C"/>
    <w:rsid w:val="003E33DB"/>
    <w:rsid w:val="003E42DD"/>
    <w:rsid w:val="003E4E66"/>
    <w:rsid w:val="003E5757"/>
    <w:rsid w:val="003E577E"/>
    <w:rsid w:val="003E618F"/>
    <w:rsid w:val="003E6AD6"/>
    <w:rsid w:val="003E6D7E"/>
    <w:rsid w:val="003E7047"/>
    <w:rsid w:val="003E71FF"/>
    <w:rsid w:val="003E72A6"/>
    <w:rsid w:val="003E73CF"/>
    <w:rsid w:val="003E755D"/>
    <w:rsid w:val="003E75B5"/>
    <w:rsid w:val="003E76BE"/>
    <w:rsid w:val="003F10C8"/>
    <w:rsid w:val="003F1A48"/>
    <w:rsid w:val="003F1F6A"/>
    <w:rsid w:val="003F22C5"/>
    <w:rsid w:val="003F26CF"/>
    <w:rsid w:val="003F309E"/>
    <w:rsid w:val="003F3B35"/>
    <w:rsid w:val="003F3D39"/>
    <w:rsid w:val="003F494A"/>
    <w:rsid w:val="003F4A43"/>
    <w:rsid w:val="003F4C06"/>
    <w:rsid w:val="003F53E4"/>
    <w:rsid w:val="003F5518"/>
    <w:rsid w:val="003F59B8"/>
    <w:rsid w:val="003F6357"/>
    <w:rsid w:val="003F655E"/>
    <w:rsid w:val="003F682B"/>
    <w:rsid w:val="003F685F"/>
    <w:rsid w:val="003F6AA8"/>
    <w:rsid w:val="003F7765"/>
    <w:rsid w:val="003F79BC"/>
    <w:rsid w:val="003F7B71"/>
    <w:rsid w:val="003F7CB8"/>
    <w:rsid w:val="00401F53"/>
    <w:rsid w:val="004028CA"/>
    <w:rsid w:val="004035EB"/>
    <w:rsid w:val="00404075"/>
    <w:rsid w:val="00404DAE"/>
    <w:rsid w:val="00405884"/>
    <w:rsid w:val="00405B45"/>
    <w:rsid w:val="00405ED9"/>
    <w:rsid w:val="004065B8"/>
    <w:rsid w:val="004077C8"/>
    <w:rsid w:val="004102E4"/>
    <w:rsid w:val="00410337"/>
    <w:rsid w:val="004105CC"/>
    <w:rsid w:val="0041095C"/>
    <w:rsid w:val="00410BEA"/>
    <w:rsid w:val="0041219E"/>
    <w:rsid w:val="00412517"/>
    <w:rsid w:val="00412E49"/>
    <w:rsid w:val="00413508"/>
    <w:rsid w:val="00413699"/>
    <w:rsid w:val="00413788"/>
    <w:rsid w:val="00413834"/>
    <w:rsid w:val="00413A28"/>
    <w:rsid w:val="00413A6A"/>
    <w:rsid w:val="004141E0"/>
    <w:rsid w:val="00414D26"/>
    <w:rsid w:val="004158DD"/>
    <w:rsid w:val="00416F06"/>
    <w:rsid w:val="004171BE"/>
    <w:rsid w:val="004178DB"/>
    <w:rsid w:val="00417D31"/>
    <w:rsid w:val="00417F90"/>
    <w:rsid w:val="00420275"/>
    <w:rsid w:val="004203AA"/>
    <w:rsid w:val="0042092C"/>
    <w:rsid w:val="00420DF5"/>
    <w:rsid w:val="00420F2A"/>
    <w:rsid w:val="004212EC"/>
    <w:rsid w:val="00421B80"/>
    <w:rsid w:val="00423713"/>
    <w:rsid w:val="0042476A"/>
    <w:rsid w:val="00424A31"/>
    <w:rsid w:val="004255DB"/>
    <w:rsid w:val="00426E11"/>
    <w:rsid w:val="004271BD"/>
    <w:rsid w:val="00427588"/>
    <w:rsid w:val="0042795D"/>
    <w:rsid w:val="00431CC2"/>
    <w:rsid w:val="00431DF4"/>
    <w:rsid w:val="00432725"/>
    <w:rsid w:val="0043340E"/>
    <w:rsid w:val="004335B4"/>
    <w:rsid w:val="00434157"/>
    <w:rsid w:val="00434F46"/>
    <w:rsid w:val="00434FB5"/>
    <w:rsid w:val="004358A8"/>
    <w:rsid w:val="0043597C"/>
    <w:rsid w:val="00435B53"/>
    <w:rsid w:val="00435D0D"/>
    <w:rsid w:val="0043603C"/>
    <w:rsid w:val="004360E2"/>
    <w:rsid w:val="00436BBD"/>
    <w:rsid w:val="00436BE9"/>
    <w:rsid w:val="00436F24"/>
    <w:rsid w:val="004376D8"/>
    <w:rsid w:val="00437A3F"/>
    <w:rsid w:val="00440530"/>
    <w:rsid w:val="00440C81"/>
    <w:rsid w:val="00440CCB"/>
    <w:rsid w:val="00440EAF"/>
    <w:rsid w:val="00441C77"/>
    <w:rsid w:val="00441DA5"/>
    <w:rsid w:val="004429DB"/>
    <w:rsid w:val="00442D57"/>
    <w:rsid w:val="00442FA9"/>
    <w:rsid w:val="0044371C"/>
    <w:rsid w:val="004445C3"/>
    <w:rsid w:val="00445EB8"/>
    <w:rsid w:val="00445EC7"/>
    <w:rsid w:val="00445EFB"/>
    <w:rsid w:val="00446435"/>
    <w:rsid w:val="004464EC"/>
    <w:rsid w:val="004476BA"/>
    <w:rsid w:val="00447E57"/>
    <w:rsid w:val="0045000F"/>
    <w:rsid w:val="00450C02"/>
    <w:rsid w:val="00450C70"/>
    <w:rsid w:val="00450E91"/>
    <w:rsid w:val="00451460"/>
    <w:rsid w:val="00451D56"/>
    <w:rsid w:val="00451D91"/>
    <w:rsid w:val="00451DE1"/>
    <w:rsid w:val="00452221"/>
    <w:rsid w:val="00453249"/>
    <w:rsid w:val="00453819"/>
    <w:rsid w:val="00453F9A"/>
    <w:rsid w:val="004541F7"/>
    <w:rsid w:val="00454249"/>
    <w:rsid w:val="0045426E"/>
    <w:rsid w:val="00454EF6"/>
    <w:rsid w:val="00455D60"/>
    <w:rsid w:val="004566A2"/>
    <w:rsid w:val="00456865"/>
    <w:rsid w:val="00456950"/>
    <w:rsid w:val="0046061E"/>
    <w:rsid w:val="00462AF3"/>
    <w:rsid w:val="0046301B"/>
    <w:rsid w:val="0046341A"/>
    <w:rsid w:val="00463724"/>
    <w:rsid w:val="004637F3"/>
    <w:rsid w:val="0046386F"/>
    <w:rsid w:val="00463C85"/>
    <w:rsid w:val="004648CA"/>
    <w:rsid w:val="00464903"/>
    <w:rsid w:val="00464C60"/>
    <w:rsid w:val="00464D6D"/>
    <w:rsid w:val="00464F05"/>
    <w:rsid w:val="00465C18"/>
    <w:rsid w:val="00466DA9"/>
    <w:rsid w:val="004675D2"/>
    <w:rsid w:val="00467A46"/>
    <w:rsid w:val="00467F23"/>
    <w:rsid w:val="00470043"/>
    <w:rsid w:val="004704D3"/>
    <w:rsid w:val="00470618"/>
    <w:rsid w:val="00470716"/>
    <w:rsid w:val="00470F0D"/>
    <w:rsid w:val="00470F2E"/>
    <w:rsid w:val="0047107B"/>
    <w:rsid w:val="00471A6A"/>
    <w:rsid w:val="00471C87"/>
    <w:rsid w:val="0047279B"/>
    <w:rsid w:val="0047383A"/>
    <w:rsid w:val="00474932"/>
    <w:rsid w:val="004751F7"/>
    <w:rsid w:val="00475614"/>
    <w:rsid w:val="00475771"/>
    <w:rsid w:val="00475B67"/>
    <w:rsid w:val="00475D4A"/>
    <w:rsid w:val="0047669E"/>
    <w:rsid w:val="004767BC"/>
    <w:rsid w:val="0047723A"/>
    <w:rsid w:val="00477929"/>
    <w:rsid w:val="004779EC"/>
    <w:rsid w:val="004811AC"/>
    <w:rsid w:val="004827E6"/>
    <w:rsid w:val="00482ABE"/>
    <w:rsid w:val="00482D8F"/>
    <w:rsid w:val="0048480F"/>
    <w:rsid w:val="00484B17"/>
    <w:rsid w:val="004854F0"/>
    <w:rsid w:val="00485C0B"/>
    <w:rsid w:val="00485D59"/>
    <w:rsid w:val="00486883"/>
    <w:rsid w:val="00487ACB"/>
    <w:rsid w:val="00487D7C"/>
    <w:rsid w:val="004900B6"/>
    <w:rsid w:val="004906FA"/>
    <w:rsid w:val="00490B0A"/>
    <w:rsid w:val="00490E34"/>
    <w:rsid w:val="00491221"/>
    <w:rsid w:val="00492794"/>
    <w:rsid w:val="00492B8A"/>
    <w:rsid w:val="00493807"/>
    <w:rsid w:val="00494E12"/>
    <w:rsid w:val="00496200"/>
    <w:rsid w:val="004969B7"/>
    <w:rsid w:val="00496A17"/>
    <w:rsid w:val="00496B54"/>
    <w:rsid w:val="00497B5C"/>
    <w:rsid w:val="00497C27"/>
    <w:rsid w:val="004A1474"/>
    <w:rsid w:val="004A1896"/>
    <w:rsid w:val="004A223B"/>
    <w:rsid w:val="004A2389"/>
    <w:rsid w:val="004A2CB4"/>
    <w:rsid w:val="004A332A"/>
    <w:rsid w:val="004A36E5"/>
    <w:rsid w:val="004A3A1B"/>
    <w:rsid w:val="004A3C05"/>
    <w:rsid w:val="004A419B"/>
    <w:rsid w:val="004A4807"/>
    <w:rsid w:val="004A4F1A"/>
    <w:rsid w:val="004A6013"/>
    <w:rsid w:val="004A65E4"/>
    <w:rsid w:val="004A6F34"/>
    <w:rsid w:val="004A7EC5"/>
    <w:rsid w:val="004B0026"/>
    <w:rsid w:val="004B0376"/>
    <w:rsid w:val="004B03FC"/>
    <w:rsid w:val="004B10F4"/>
    <w:rsid w:val="004B2451"/>
    <w:rsid w:val="004B3A74"/>
    <w:rsid w:val="004B41B9"/>
    <w:rsid w:val="004B458A"/>
    <w:rsid w:val="004B50EB"/>
    <w:rsid w:val="004B5376"/>
    <w:rsid w:val="004B621C"/>
    <w:rsid w:val="004B6A9B"/>
    <w:rsid w:val="004B6FB8"/>
    <w:rsid w:val="004B7F4D"/>
    <w:rsid w:val="004B7F8B"/>
    <w:rsid w:val="004C156E"/>
    <w:rsid w:val="004C3239"/>
    <w:rsid w:val="004C39C0"/>
    <w:rsid w:val="004C4254"/>
    <w:rsid w:val="004C4C33"/>
    <w:rsid w:val="004C4CD6"/>
    <w:rsid w:val="004C52E6"/>
    <w:rsid w:val="004C701A"/>
    <w:rsid w:val="004D052D"/>
    <w:rsid w:val="004D075F"/>
    <w:rsid w:val="004D0B50"/>
    <w:rsid w:val="004D10B6"/>
    <w:rsid w:val="004D17FE"/>
    <w:rsid w:val="004D2208"/>
    <w:rsid w:val="004D238A"/>
    <w:rsid w:val="004D3293"/>
    <w:rsid w:val="004D363F"/>
    <w:rsid w:val="004D3887"/>
    <w:rsid w:val="004D38AF"/>
    <w:rsid w:val="004D3DD3"/>
    <w:rsid w:val="004D3DD9"/>
    <w:rsid w:val="004D4771"/>
    <w:rsid w:val="004D4B42"/>
    <w:rsid w:val="004D5408"/>
    <w:rsid w:val="004D5460"/>
    <w:rsid w:val="004D59EC"/>
    <w:rsid w:val="004D5E60"/>
    <w:rsid w:val="004D66D5"/>
    <w:rsid w:val="004D7B91"/>
    <w:rsid w:val="004E0065"/>
    <w:rsid w:val="004E03AA"/>
    <w:rsid w:val="004E0561"/>
    <w:rsid w:val="004E1B7C"/>
    <w:rsid w:val="004E27C4"/>
    <w:rsid w:val="004E2A66"/>
    <w:rsid w:val="004E3548"/>
    <w:rsid w:val="004E36E4"/>
    <w:rsid w:val="004E38A5"/>
    <w:rsid w:val="004E3EED"/>
    <w:rsid w:val="004E4142"/>
    <w:rsid w:val="004E444A"/>
    <w:rsid w:val="004E4DF2"/>
    <w:rsid w:val="004E50D6"/>
    <w:rsid w:val="004E5EA7"/>
    <w:rsid w:val="004E6BEA"/>
    <w:rsid w:val="004E7649"/>
    <w:rsid w:val="004E7C35"/>
    <w:rsid w:val="004E7FAD"/>
    <w:rsid w:val="004F00D1"/>
    <w:rsid w:val="004F01E3"/>
    <w:rsid w:val="004F0728"/>
    <w:rsid w:val="004F0E02"/>
    <w:rsid w:val="004F1170"/>
    <w:rsid w:val="004F1249"/>
    <w:rsid w:val="004F2188"/>
    <w:rsid w:val="004F24BA"/>
    <w:rsid w:val="004F24E1"/>
    <w:rsid w:val="004F26BA"/>
    <w:rsid w:val="004F27C0"/>
    <w:rsid w:val="004F313F"/>
    <w:rsid w:val="004F36B9"/>
    <w:rsid w:val="004F3F86"/>
    <w:rsid w:val="004F4762"/>
    <w:rsid w:val="004F65BC"/>
    <w:rsid w:val="004F6698"/>
    <w:rsid w:val="004F6BBB"/>
    <w:rsid w:val="004F6FC6"/>
    <w:rsid w:val="005013AA"/>
    <w:rsid w:val="00501BBF"/>
    <w:rsid w:val="00502E25"/>
    <w:rsid w:val="00503C19"/>
    <w:rsid w:val="005043BF"/>
    <w:rsid w:val="00504AB6"/>
    <w:rsid w:val="00505957"/>
    <w:rsid w:val="0050597C"/>
    <w:rsid w:val="00506373"/>
    <w:rsid w:val="00506E07"/>
    <w:rsid w:val="0050710F"/>
    <w:rsid w:val="005074DE"/>
    <w:rsid w:val="005076D6"/>
    <w:rsid w:val="00507827"/>
    <w:rsid w:val="00507D58"/>
    <w:rsid w:val="0051000F"/>
    <w:rsid w:val="005101A2"/>
    <w:rsid w:val="005108CC"/>
    <w:rsid w:val="00510F04"/>
    <w:rsid w:val="0051382B"/>
    <w:rsid w:val="00513975"/>
    <w:rsid w:val="00513F1E"/>
    <w:rsid w:val="005144C4"/>
    <w:rsid w:val="005145E8"/>
    <w:rsid w:val="005146C3"/>
    <w:rsid w:val="005152A9"/>
    <w:rsid w:val="0051548F"/>
    <w:rsid w:val="0051556C"/>
    <w:rsid w:val="00515B0F"/>
    <w:rsid w:val="00516492"/>
    <w:rsid w:val="00516D51"/>
    <w:rsid w:val="0051777D"/>
    <w:rsid w:val="00517FFB"/>
    <w:rsid w:val="00520229"/>
    <w:rsid w:val="00520908"/>
    <w:rsid w:val="00520957"/>
    <w:rsid w:val="00521A67"/>
    <w:rsid w:val="00521D33"/>
    <w:rsid w:val="00522350"/>
    <w:rsid w:val="00522543"/>
    <w:rsid w:val="0052331E"/>
    <w:rsid w:val="00523765"/>
    <w:rsid w:val="00523902"/>
    <w:rsid w:val="00524146"/>
    <w:rsid w:val="005247EC"/>
    <w:rsid w:val="0052575C"/>
    <w:rsid w:val="005258E4"/>
    <w:rsid w:val="00525BB2"/>
    <w:rsid w:val="005264D2"/>
    <w:rsid w:val="00527095"/>
    <w:rsid w:val="0052712B"/>
    <w:rsid w:val="005274EC"/>
    <w:rsid w:val="00527759"/>
    <w:rsid w:val="00527760"/>
    <w:rsid w:val="005309CD"/>
    <w:rsid w:val="00530F6F"/>
    <w:rsid w:val="00530FB6"/>
    <w:rsid w:val="005313A6"/>
    <w:rsid w:val="00531A47"/>
    <w:rsid w:val="005338E3"/>
    <w:rsid w:val="00533AF9"/>
    <w:rsid w:val="00533BF5"/>
    <w:rsid w:val="00533CBC"/>
    <w:rsid w:val="00534131"/>
    <w:rsid w:val="00534781"/>
    <w:rsid w:val="00534E65"/>
    <w:rsid w:val="0053560E"/>
    <w:rsid w:val="00535D01"/>
    <w:rsid w:val="00536134"/>
    <w:rsid w:val="00536F3A"/>
    <w:rsid w:val="005406A0"/>
    <w:rsid w:val="00540908"/>
    <w:rsid w:val="0054111C"/>
    <w:rsid w:val="00541189"/>
    <w:rsid w:val="00541BCC"/>
    <w:rsid w:val="00542600"/>
    <w:rsid w:val="00542A8E"/>
    <w:rsid w:val="00543A42"/>
    <w:rsid w:val="00543B9D"/>
    <w:rsid w:val="005446B9"/>
    <w:rsid w:val="005451C5"/>
    <w:rsid w:val="00545522"/>
    <w:rsid w:val="00545665"/>
    <w:rsid w:val="0054604F"/>
    <w:rsid w:val="005461E4"/>
    <w:rsid w:val="0054636E"/>
    <w:rsid w:val="0054643D"/>
    <w:rsid w:val="00546450"/>
    <w:rsid w:val="0054696B"/>
    <w:rsid w:val="00546A9C"/>
    <w:rsid w:val="00546B61"/>
    <w:rsid w:val="00546BD6"/>
    <w:rsid w:val="00546C70"/>
    <w:rsid w:val="005478AC"/>
    <w:rsid w:val="00547992"/>
    <w:rsid w:val="00547D48"/>
    <w:rsid w:val="005500F8"/>
    <w:rsid w:val="0055036B"/>
    <w:rsid w:val="00550A48"/>
    <w:rsid w:val="005525C1"/>
    <w:rsid w:val="005529EF"/>
    <w:rsid w:val="0055321A"/>
    <w:rsid w:val="005532B1"/>
    <w:rsid w:val="005532FB"/>
    <w:rsid w:val="0055364F"/>
    <w:rsid w:val="005548CA"/>
    <w:rsid w:val="00554F44"/>
    <w:rsid w:val="00555C7F"/>
    <w:rsid w:val="00556573"/>
    <w:rsid w:val="00557C04"/>
    <w:rsid w:val="00557FE6"/>
    <w:rsid w:val="0056059C"/>
    <w:rsid w:val="00560BB0"/>
    <w:rsid w:val="00561000"/>
    <w:rsid w:val="0056115C"/>
    <w:rsid w:val="00561C3A"/>
    <w:rsid w:val="0056222E"/>
    <w:rsid w:val="005625ED"/>
    <w:rsid w:val="00562C94"/>
    <w:rsid w:val="00562EB5"/>
    <w:rsid w:val="00563103"/>
    <w:rsid w:val="005631F3"/>
    <w:rsid w:val="0056340E"/>
    <w:rsid w:val="00563645"/>
    <w:rsid w:val="00563A5F"/>
    <w:rsid w:val="00563B03"/>
    <w:rsid w:val="00563C3F"/>
    <w:rsid w:val="00563EBE"/>
    <w:rsid w:val="0056455B"/>
    <w:rsid w:val="0056463F"/>
    <w:rsid w:val="0056490E"/>
    <w:rsid w:val="00564F2C"/>
    <w:rsid w:val="005653A7"/>
    <w:rsid w:val="00565D49"/>
    <w:rsid w:val="00566642"/>
    <w:rsid w:val="00566969"/>
    <w:rsid w:val="00567CD2"/>
    <w:rsid w:val="00567FAC"/>
    <w:rsid w:val="005700BD"/>
    <w:rsid w:val="005705A2"/>
    <w:rsid w:val="005709F0"/>
    <w:rsid w:val="00571541"/>
    <w:rsid w:val="00572DDD"/>
    <w:rsid w:val="00573931"/>
    <w:rsid w:val="00573E82"/>
    <w:rsid w:val="00573F70"/>
    <w:rsid w:val="00573FDA"/>
    <w:rsid w:val="00574216"/>
    <w:rsid w:val="00574799"/>
    <w:rsid w:val="005749C2"/>
    <w:rsid w:val="0057519F"/>
    <w:rsid w:val="005756E5"/>
    <w:rsid w:val="00575F7F"/>
    <w:rsid w:val="00575FED"/>
    <w:rsid w:val="005761F9"/>
    <w:rsid w:val="005766EB"/>
    <w:rsid w:val="00576790"/>
    <w:rsid w:val="00576C90"/>
    <w:rsid w:val="005771E1"/>
    <w:rsid w:val="0057762E"/>
    <w:rsid w:val="005800E6"/>
    <w:rsid w:val="00580370"/>
    <w:rsid w:val="0058106E"/>
    <w:rsid w:val="005813AD"/>
    <w:rsid w:val="00581D73"/>
    <w:rsid w:val="005826C9"/>
    <w:rsid w:val="00582F8B"/>
    <w:rsid w:val="005833C7"/>
    <w:rsid w:val="0058388C"/>
    <w:rsid w:val="00585235"/>
    <w:rsid w:val="00585B2B"/>
    <w:rsid w:val="005870D6"/>
    <w:rsid w:val="00590323"/>
    <w:rsid w:val="00590E2A"/>
    <w:rsid w:val="005919E1"/>
    <w:rsid w:val="00592188"/>
    <w:rsid w:val="0059287E"/>
    <w:rsid w:val="00592BD6"/>
    <w:rsid w:val="00592BFD"/>
    <w:rsid w:val="005931D6"/>
    <w:rsid w:val="00593DF7"/>
    <w:rsid w:val="0059401D"/>
    <w:rsid w:val="005946BF"/>
    <w:rsid w:val="00594711"/>
    <w:rsid w:val="00594D12"/>
    <w:rsid w:val="005952BA"/>
    <w:rsid w:val="005956CF"/>
    <w:rsid w:val="0059579F"/>
    <w:rsid w:val="00595F50"/>
    <w:rsid w:val="00596707"/>
    <w:rsid w:val="00596965"/>
    <w:rsid w:val="00597799"/>
    <w:rsid w:val="00597B81"/>
    <w:rsid w:val="005A0715"/>
    <w:rsid w:val="005A07C8"/>
    <w:rsid w:val="005A0FF6"/>
    <w:rsid w:val="005A220A"/>
    <w:rsid w:val="005A2401"/>
    <w:rsid w:val="005A2838"/>
    <w:rsid w:val="005A2B58"/>
    <w:rsid w:val="005A2E5D"/>
    <w:rsid w:val="005A30C6"/>
    <w:rsid w:val="005A33C6"/>
    <w:rsid w:val="005A37E8"/>
    <w:rsid w:val="005A380A"/>
    <w:rsid w:val="005A49B3"/>
    <w:rsid w:val="005A4DC0"/>
    <w:rsid w:val="005A5DAD"/>
    <w:rsid w:val="005A645E"/>
    <w:rsid w:val="005A769C"/>
    <w:rsid w:val="005A78C3"/>
    <w:rsid w:val="005A78ED"/>
    <w:rsid w:val="005B0751"/>
    <w:rsid w:val="005B0EB6"/>
    <w:rsid w:val="005B10D8"/>
    <w:rsid w:val="005B1C13"/>
    <w:rsid w:val="005B1E2E"/>
    <w:rsid w:val="005B2B56"/>
    <w:rsid w:val="005B31F1"/>
    <w:rsid w:val="005B333C"/>
    <w:rsid w:val="005B43FD"/>
    <w:rsid w:val="005B4D22"/>
    <w:rsid w:val="005B558C"/>
    <w:rsid w:val="005B589D"/>
    <w:rsid w:val="005B5D1A"/>
    <w:rsid w:val="005B6761"/>
    <w:rsid w:val="005B6E0D"/>
    <w:rsid w:val="005B7FE4"/>
    <w:rsid w:val="005C015E"/>
    <w:rsid w:val="005C05F2"/>
    <w:rsid w:val="005C1314"/>
    <w:rsid w:val="005C2335"/>
    <w:rsid w:val="005C2649"/>
    <w:rsid w:val="005C29F1"/>
    <w:rsid w:val="005C2ED9"/>
    <w:rsid w:val="005C308A"/>
    <w:rsid w:val="005C32E6"/>
    <w:rsid w:val="005C5884"/>
    <w:rsid w:val="005C6319"/>
    <w:rsid w:val="005C6502"/>
    <w:rsid w:val="005C6B50"/>
    <w:rsid w:val="005C763D"/>
    <w:rsid w:val="005C7DC8"/>
    <w:rsid w:val="005C7E89"/>
    <w:rsid w:val="005D0573"/>
    <w:rsid w:val="005D07A5"/>
    <w:rsid w:val="005D09F2"/>
    <w:rsid w:val="005D1252"/>
    <w:rsid w:val="005D193D"/>
    <w:rsid w:val="005D2034"/>
    <w:rsid w:val="005D2868"/>
    <w:rsid w:val="005D2C9A"/>
    <w:rsid w:val="005D2FD4"/>
    <w:rsid w:val="005D37BD"/>
    <w:rsid w:val="005D38FE"/>
    <w:rsid w:val="005D4E13"/>
    <w:rsid w:val="005D5358"/>
    <w:rsid w:val="005D5C9F"/>
    <w:rsid w:val="005D5D43"/>
    <w:rsid w:val="005D7604"/>
    <w:rsid w:val="005D767C"/>
    <w:rsid w:val="005D76F8"/>
    <w:rsid w:val="005D79A8"/>
    <w:rsid w:val="005D7ACC"/>
    <w:rsid w:val="005E0565"/>
    <w:rsid w:val="005E1857"/>
    <w:rsid w:val="005E1CCE"/>
    <w:rsid w:val="005E2293"/>
    <w:rsid w:val="005E2306"/>
    <w:rsid w:val="005E2909"/>
    <w:rsid w:val="005E2D55"/>
    <w:rsid w:val="005E31B6"/>
    <w:rsid w:val="005E322D"/>
    <w:rsid w:val="005E449D"/>
    <w:rsid w:val="005E5683"/>
    <w:rsid w:val="005E5E75"/>
    <w:rsid w:val="005E62AE"/>
    <w:rsid w:val="005E649C"/>
    <w:rsid w:val="005E72A8"/>
    <w:rsid w:val="005F0FD7"/>
    <w:rsid w:val="005F11A6"/>
    <w:rsid w:val="005F14F3"/>
    <w:rsid w:val="005F1D9A"/>
    <w:rsid w:val="005F2813"/>
    <w:rsid w:val="005F350D"/>
    <w:rsid w:val="005F3784"/>
    <w:rsid w:val="005F3B02"/>
    <w:rsid w:val="005F50D2"/>
    <w:rsid w:val="005F60E4"/>
    <w:rsid w:val="005F6888"/>
    <w:rsid w:val="005F6FDF"/>
    <w:rsid w:val="005F70E5"/>
    <w:rsid w:val="00600B29"/>
    <w:rsid w:val="006016E9"/>
    <w:rsid w:val="00601EE8"/>
    <w:rsid w:val="006027BB"/>
    <w:rsid w:val="006037DD"/>
    <w:rsid w:val="0060422D"/>
    <w:rsid w:val="00604527"/>
    <w:rsid w:val="0060453C"/>
    <w:rsid w:val="00604E51"/>
    <w:rsid w:val="006051C4"/>
    <w:rsid w:val="00605634"/>
    <w:rsid w:val="00605684"/>
    <w:rsid w:val="00605A5A"/>
    <w:rsid w:val="006066A4"/>
    <w:rsid w:val="00606D70"/>
    <w:rsid w:val="006071A2"/>
    <w:rsid w:val="006072C0"/>
    <w:rsid w:val="006073A2"/>
    <w:rsid w:val="00607CF5"/>
    <w:rsid w:val="006102CA"/>
    <w:rsid w:val="00610DAE"/>
    <w:rsid w:val="006122CC"/>
    <w:rsid w:val="00612995"/>
    <w:rsid w:val="00612AB1"/>
    <w:rsid w:val="00612D85"/>
    <w:rsid w:val="00612E6A"/>
    <w:rsid w:val="0061313A"/>
    <w:rsid w:val="00613189"/>
    <w:rsid w:val="00613E58"/>
    <w:rsid w:val="006147A5"/>
    <w:rsid w:val="00615833"/>
    <w:rsid w:val="006164F3"/>
    <w:rsid w:val="00616524"/>
    <w:rsid w:val="00616529"/>
    <w:rsid w:val="00616E31"/>
    <w:rsid w:val="00617E96"/>
    <w:rsid w:val="006208EC"/>
    <w:rsid w:val="00620A70"/>
    <w:rsid w:val="00620EE6"/>
    <w:rsid w:val="00620EF9"/>
    <w:rsid w:val="00620F77"/>
    <w:rsid w:val="006218CD"/>
    <w:rsid w:val="00622757"/>
    <w:rsid w:val="006228EA"/>
    <w:rsid w:val="00623044"/>
    <w:rsid w:val="00623926"/>
    <w:rsid w:val="00623CA7"/>
    <w:rsid w:val="0062434F"/>
    <w:rsid w:val="006244D5"/>
    <w:rsid w:val="006260A7"/>
    <w:rsid w:val="006265A2"/>
    <w:rsid w:val="00626B05"/>
    <w:rsid w:val="00630DCC"/>
    <w:rsid w:val="006317B3"/>
    <w:rsid w:val="006328EE"/>
    <w:rsid w:val="006333A8"/>
    <w:rsid w:val="00633701"/>
    <w:rsid w:val="0063375F"/>
    <w:rsid w:val="00634206"/>
    <w:rsid w:val="006359A6"/>
    <w:rsid w:val="00635A4C"/>
    <w:rsid w:val="00636658"/>
    <w:rsid w:val="00636808"/>
    <w:rsid w:val="00636EDF"/>
    <w:rsid w:val="00636FF3"/>
    <w:rsid w:val="006373BD"/>
    <w:rsid w:val="006376C0"/>
    <w:rsid w:val="006378D8"/>
    <w:rsid w:val="006402CE"/>
    <w:rsid w:val="00640501"/>
    <w:rsid w:val="00640757"/>
    <w:rsid w:val="006408DF"/>
    <w:rsid w:val="00641A0B"/>
    <w:rsid w:val="00641A65"/>
    <w:rsid w:val="00641C3C"/>
    <w:rsid w:val="00642081"/>
    <w:rsid w:val="006421AF"/>
    <w:rsid w:val="006432C1"/>
    <w:rsid w:val="00645EC4"/>
    <w:rsid w:val="006469FF"/>
    <w:rsid w:val="0064715C"/>
    <w:rsid w:val="00647448"/>
    <w:rsid w:val="00650282"/>
    <w:rsid w:val="00650404"/>
    <w:rsid w:val="00650647"/>
    <w:rsid w:val="006518AD"/>
    <w:rsid w:val="00651A13"/>
    <w:rsid w:val="00652112"/>
    <w:rsid w:val="006533AB"/>
    <w:rsid w:val="00653EFC"/>
    <w:rsid w:val="00653FBF"/>
    <w:rsid w:val="006549D2"/>
    <w:rsid w:val="00654C99"/>
    <w:rsid w:val="00656078"/>
    <w:rsid w:val="0065634B"/>
    <w:rsid w:val="0065664C"/>
    <w:rsid w:val="006567D7"/>
    <w:rsid w:val="006577A8"/>
    <w:rsid w:val="006577AA"/>
    <w:rsid w:val="0065784D"/>
    <w:rsid w:val="00660627"/>
    <w:rsid w:val="00660661"/>
    <w:rsid w:val="0066087A"/>
    <w:rsid w:val="00661B4E"/>
    <w:rsid w:val="00662E6C"/>
    <w:rsid w:val="006638AB"/>
    <w:rsid w:val="00663C24"/>
    <w:rsid w:val="006644EE"/>
    <w:rsid w:val="00664864"/>
    <w:rsid w:val="00665C33"/>
    <w:rsid w:val="00665EBF"/>
    <w:rsid w:val="00666249"/>
    <w:rsid w:val="006665C4"/>
    <w:rsid w:val="006666E8"/>
    <w:rsid w:val="006667D6"/>
    <w:rsid w:val="0067054C"/>
    <w:rsid w:val="0067159F"/>
    <w:rsid w:val="0067192F"/>
    <w:rsid w:val="00671E8D"/>
    <w:rsid w:val="0067255E"/>
    <w:rsid w:val="0067287E"/>
    <w:rsid w:val="00672997"/>
    <w:rsid w:val="006733B8"/>
    <w:rsid w:val="0067340C"/>
    <w:rsid w:val="006736A5"/>
    <w:rsid w:val="006741CD"/>
    <w:rsid w:val="00674900"/>
    <w:rsid w:val="00674CDB"/>
    <w:rsid w:val="00675251"/>
    <w:rsid w:val="00675569"/>
    <w:rsid w:val="00675C3F"/>
    <w:rsid w:val="00675CD4"/>
    <w:rsid w:val="006765EC"/>
    <w:rsid w:val="00676BB3"/>
    <w:rsid w:val="00676E7F"/>
    <w:rsid w:val="006804C4"/>
    <w:rsid w:val="00680C5B"/>
    <w:rsid w:val="006815AE"/>
    <w:rsid w:val="006826B4"/>
    <w:rsid w:val="0068272C"/>
    <w:rsid w:val="006827F9"/>
    <w:rsid w:val="00682AE2"/>
    <w:rsid w:val="006836AD"/>
    <w:rsid w:val="0068376E"/>
    <w:rsid w:val="00683808"/>
    <w:rsid w:val="006838B4"/>
    <w:rsid w:val="00683A30"/>
    <w:rsid w:val="00683C0B"/>
    <w:rsid w:val="00683C26"/>
    <w:rsid w:val="00683DC7"/>
    <w:rsid w:val="006844F5"/>
    <w:rsid w:val="0068456B"/>
    <w:rsid w:val="00684B95"/>
    <w:rsid w:val="00684DE6"/>
    <w:rsid w:val="006850AC"/>
    <w:rsid w:val="00685704"/>
    <w:rsid w:val="00685B1F"/>
    <w:rsid w:val="00686122"/>
    <w:rsid w:val="00686CDF"/>
    <w:rsid w:val="00686D01"/>
    <w:rsid w:val="00687334"/>
    <w:rsid w:val="00687499"/>
    <w:rsid w:val="00687BCB"/>
    <w:rsid w:val="00691A5F"/>
    <w:rsid w:val="006921D0"/>
    <w:rsid w:val="0069238D"/>
    <w:rsid w:val="00692957"/>
    <w:rsid w:val="00693406"/>
    <w:rsid w:val="00693615"/>
    <w:rsid w:val="00693A6F"/>
    <w:rsid w:val="0069424E"/>
    <w:rsid w:val="006948C1"/>
    <w:rsid w:val="006953F3"/>
    <w:rsid w:val="006960D6"/>
    <w:rsid w:val="00697AD6"/>
    <w:rsid w:val="006A033C"/>
    <w:rsid w:val="006A0685"/>
    <w:rsid w:val="006A1C37"/>
    <w:rsid w:val="006A1EFA"/>
    <w:rsid w:val="006A1FD8"/>
    <w:rsid w:val="006A2A61"/>
    <w:rsid w:val="006A2FEC"/>
    <w:rsid w:val="006A3D96"/>
    <w:rsid w:val="006A3E1B"/>
    <w:rsid w:val="006A4A28"/>
    <w:rsid w:val="006A5BC5"/>
    <w:rsid w:val="006A5F5E"/>
    <w:rsid w:val="006A6BB6"/>
    <w:rsid w:val="006A7C20"/>
    <w:rsid w:val="006B00C1"/>
    <w:rsid w:val="006B0153"/>
    <w:rsid w:val="006B0ADD"/>
    <w:rsid w:val="006B0F93"/>
    <w:rsid w:val="006B146F"/>
    <w:rsid w:val="006B16FB"/>
    <w:rsid w:val="006B1B08"/>
    <w:rsid w:val="006B3397"/>
    <w:rsid w:val="006B3632"/>
    <w:rsid w:val="006B4511"/>
    <w:rsid w:val="006B47A2"/>
    <w:rsid w:val="006B5043"/>
    <w:rsid w:val="006B551C"/>
    <w:rsid w:val="006B5C91"/>
    <w:rsid w:val="006B616A"/>
    <w:rsid w:val="006B6696"/>
    <w:rsid w:val="006B689E"/>
    <w:rsid w:val="006B6A9C"/>
    <w:rsid w:val="006B7443"/>
    <w:rsid w:val="006C034E"/>
    <w:rsid w:val="006C04B3"/>
    <w:rsid w:val="006C0628"/>
    <w:rsid w:val="006C0B72"/>
    <w:rsid w:val="006C0F64"/>
    <w:rsid w:val="006C47CB"/>
    <w:rsid w:val="006C483F"/>
    <w:rsid w:val="006C4DBD"/>
    <w:rsid w:val="006C4F86"/>
    <w:rsid w:val="006C523C"/>
    <w:rsid w:val="006C70D4"/>
    <w:rsid w:val="006C7428"/>
    <w:rsid w:val="006C7827"/>
    <w:rsid w:val="006D085F"/>
    <w:rsid w:val="006D0899"/>
    <w:rsid w:val="006D1237"/>
    <w:rsid w:val="006D156A"/>
    <w:rsid w:val="006D175B"/>
    <w:rsid w:val="006D1FC0"/>
    <w:rsid w:val="006D2736"/>
    <w:rsid w:val="006D2D6C"/>
    <w:rsid w:val="006D2DB2"/>
    <w:rsid w:val="006D3601"/>
    <w:rsid w:val="006D390E"/>
    <w:rsid w:val="006D3F66"/>
    <w:rsid w:val="006D45B0"/>
    <w:rsid w:val="006D4687"/>
    <w:rsid w:val="006D50A8"/>
    <w:rsid w:val="006D53D0"/>
    <w:rsid w:val="006D55C5"/>
    <w:rsid w:val="006D5D26"/>
    <w:rsid w:val="006D5EE2"/>
    <w:rsid w:val="006D6F59"/>
    <w:rsid w:val="006D7524"/>
    <w:rsid w:val="006E0401"/>
    <w:rsid w:val="006E0936"/>
    <w:rsid w:val="006E0D56"/>
    <w:rsid w:val="006E1655"/>
    <w:rsid w:val="006E2188"/>
    <w:rsid w:val="006E22FE"/>
    <w:rsid w:val="006E261B"/>
    <w:rsid w:val="006E37B9"/>
    <w:rsid w:val="006E3CDC"/>
    <w:rsid w:val="006E3EA0"/>
    <w:rsid w:val="006E40B3"/>
    <w:rsid w:val="006E46C8"/>
    <w:rsid w:val="006E568A"/>
    <w:rsid w:val="006E5757"/>
    <w:rsid w:val="006E79F3"/>
    <w:rsid w:val="006E7EA0"/>
    <w:rsid w:val="006F0849"/>
    <w:rsid w:val="006F0A75"/>
    <w:rsid w:val="006F115E"/>
    <w:rsid w:val="006F258D"/>
    <w:rsid w:val="006F2EBF"/>
    <w:rsid w:val="006F314D"/>
    <w:rsid w:val="006F3882"/>
    <w:rsid w:val="006F3FBD"/>
    <w:rsid w:val="006F4109"/>
    <w:rsid w:val="006F443C"/>
    <w:rsid w:val="006F44EE"/>
    <w:rsid w:val="006F4965"/>
    <w:rsid w:val="006F4E38"/>
    <w:rsid w:val="006F4F14"/>
    <w:rsid w:val="006F56F6"/>
    <w:rsid w:val="006F5E84"/>
    <w:rsid w:val="006F617C"/>
    <w:rsid w:val="006F646E"/>
    <w:rsid w:val="006F6A62"/>
    <w:rsid w:val="006F6AD8"/>
    <w:rsid w:val="006F70CF"/>
    <w:rsid w:val="006F7585"/>
    <w:rsid w:val="006F77B6"/>
    <w:rsid w:val="007002BB"/>
    <w:rsid w:val="0070086C"/>
    <w:rsid w:val="00700DAD"/>
    <w:rsid w:val="00700F30"/>
    <w:rsid w:val="00701BBD"/>
    <w:rsid w:val="007020CE"/>
    <w:rsid w:val="00702D0F"/>
    <w:rsid w:val="007036DA"/>
    <w:rsid w:val="00704552"/>
    <w:rsid w:val="00704F96"/>
    <w:rsid w:val="007053A2"/>
    <w:rsid w:val="00706206"/>
    <w:rsid w:val="00706455"/>
    <w:rsid w:val="00706953"/>
    <w:rsid w:val="00707605"/>
    <w:rsid w:val="0070779E"/>
    <w:rsid w:val="00707E25"/>
    <w:rsid w:val="00710537"/>
    <w:rsid w:val="00711537"/>
    <w:rsid w:val="00711B88"/>
    <w:rsid w:val="00712198"/>
    <w:rsid w:val="00712BC2"/>
    <w:rsid w:val="007130C6"/>
    <w:rsid w:val="00713206"/>
    <w:rsid w:val="0071492D"/>
    <w:rsid w:val="00715011"/>
    <w:rsid w:val="00715069"/>
    <w:rsid w:val="00715D62"/>
    <w:rsid w:val="0071610F"/>
    <w:rsid w:val="00716821"/>
    <w:rsid w:val="00716832"/>
    <w:rsid w:val="007168E7"/>
    <w:rsid w:val="00716ECF"/>
    <w:rsid w:val="00716F28"/>
    <w:rsid w:val="00717043"/>
    <w:rsid w:val="00717466"/>
    <w:rsid w:val="00717E62"/>
    <w:rsid w:val="007201E2"/>
    <w:rsid w:val="007207BF"/>
    <w:rsid w:val="00720E17"/>
    <w:rsid w:val="00720FF2"/>
    <w:rsid w:val="00721270"/>
    <w:rsid w:val="007219A8"/>
    <w:rsid w:val="00721BBD"/>
    <w:rsid w:val="00721DBC"/>
    <w:rsid w:val="00722D8B"/>
    <w:rsid w:val="00722F19"/>
    <w:rsid w:val="007233B0"/>
    <w:rsid w:val="00723D79"/>
    <w:rsid w:val="007241B0"/>
    <w:rsid w:val="007244CB"/>
    <w:rsid w:val="007247D1"/>
    <w:rsid w:val="0072493E"/>
    <w:rsid w:val="00724B25"/>
    <w:rsid w:val="00724BCA"/>
    <w:rsid w:val="007250FE"/>
    <w:rsid w:val="00725BF2"/>
    <w:rsid w:val="00726870"/>
    <w:rsid w:val="00726B33"/>
    <w:rsid w:val="007270AF"/>
    <w:rsid w:val="00727121"/>
    <w:rsid w:val="007272AF"/>
    <w:rsid w:val="00727875"/>
    <w:rsid w:val="007307B2"/>
    <w:rsid w:val="00730870"/>
    <w:rsid w:val="00730D74"/>
    <w:rsid w:val="00730E1F"/>
    <w:rsid w:val="00731D11"/>
    <w:rsid w:val="00731E72"/>
    <w:rsid w:val="007328B8"/>
    <w:rsid w:val="007328FB"/>
    <w:rsid w:val="00732ABF"/>
    <w:rsid w:val="00732E9F"/>
    <w:rsid w:val="00733204"/>
    <w:rsid w:val="0073372E"/>
    <w:rsid w:val="00733829"/>
    <w:rsid w:val="00733BF2"/>
    <w:rsid w:val="0073521F"/>
    <w:rsid w:val="00735334"/>
    <w:rsid w:val="00736871"/>
    <w:rsid w:val="00737040"/>
    <w:rsid w:val="0073706A"/>
    <w:rsid w:val="007370C5"/>
    <w:rsid w:val="00737431"/>
    <w:rsid w:val="00737534"/>
    <w:rsid w:val="0073785C"/>
    <w:rsid w:val="00737E00"/>
    <w:rsid w:val="00740A76"/>
    <w:rsid w:val="007418C8"/>
    <w:rsid w:val="00741AF4"/>
    <w:rsid w:val="00741B49"/>
    <w:rsid w:val="00742075"/>
    <w:rsid w:val="00742264"/>
    <w:rsid w:val="007425DD"/>
    <w:rsid w:val="00742E70"/>
    <w:rsid w:val="00743052"/>
    <w:rsid w:val="0074312E"/>
    <w:rsid w:val="00743538"/>
    <w:rsid w:val="007443F2"/>
    <w:rsid w:val="007449BC"/>
    <w:rsid w:val="00744AC9"/>
    <w:rsid w:val="00746899"/>
    <w:rsid w:val="007473EC"/>
    <w:rsid w:val="00747A69"/>
    <w:rsid w:val="007503A3"/>
    <w:rsid w:val="00750905"/>
    <w:rsid w:val="00750EEE"/>
    <w:rsid w:val="00752985"/>
    <w:rsid w:val="00752A2E"/>
    <w:rsid w:val="00752B07"/>
    <w:rsid w:val="00752C18"/>
    <w:rsid w:val="0075392E"/>
    <w:rsid w:val="007541AD"/>
    <w:rsid w:val="00754B2C"/>
    <w:rsid w:val="00755A45"/>
    <w:rsid w:val="00755C22"/>
    <w:rsid w:val="007561F9"/>
    <w:rsid w:val="00756297"/>
    <w:rsid w:val="00756300"/>
    <w:rsid w:val="007567AF"/>
    <w:rsid w:val="007568AE"/>
    <w:rsid w:val="007568D9"/>
    <w:rsid w:val="00756EBE"/>
    <w:rsid w:val="0075764C"/>
    <w:rsid w:val="007605EB"/>
    <w:rsid w:val="007607F7"/>
    <w:rsid w:val="0076093B"/>
    <w:rsid w:val="00760D56"/>
    <w:rsid w:val="007615C0"/>
    <w:rsid w:val="007617F8"/>
    <w:rsid w:val="007621EB"/>
    <w:rsid w:val="00762619"/>
    <w:rsid w:val="00762C91"/>
    <w:rsid w:val="00763C90"/>
    <w:rsid w:val="00763CA7"/>
    <w:rsid w:val="00765A59"/>
    <w:rsid w:val="00765AD9"/>
    <w:rsid w:val="00766085"/>
    <w:rsid w:val="00766F2E"/>
    <w:rsid w:val="00767A26"/>
    <w:rsid w:val="00770BD0"/>
    <w:rsid w:val="00770D94"/>
    <w:rsid w:val="00771734"/>
    <w:rsid w:val="00772456"/>
    <w:rsid w:val="0077267C"/>
    <w:rsid w:val="00772A08"/>
    <w:rsid w:val="00772C1A"/>
    <w:rsid w:val="00773117"/>
    <w:rsid w:val="00773928"/>
    <w:rsid w:val="00773983"/>
    <w:rsid w:val="00773BBE"/>
    <w:rsid w:val="00773BF5"/>
    <w:rsid w:val="007750BF"/>
    <w:rsid w:val="00775640"/>
    <w:rsid w:val="007758AF"/>
    <w:rsid w:val="00775EEF"/>
    <w:rsid w:val="00776759"/>
    <w:rsid w:val="007769DD"/>
    <w:rsid w:val="00776A12"/>
    <w:rsid w:val="00776DFC"/>
    <w:rsid w:val="0077700E"/>
    <w:rsid w:val="007773EC"/>
    <w:rsid w:val="00777515"/>
    <w:rsid w:val="00777815"/>
    <w:rsid w:val="007802DC"/>
    <w:rsid w:val="00780A5C"/>
    <w:rsid w:val="007817C7"/>
    <w:rsid w:val="00781F0C"/>
    <w:rsid w:val="007820D8"/>
    <w:rsid w:val="00782858"/>
    <w:rsid w:val="00782977"/>
    <w:rsid w:val="00782CCE"/>
    <w:rsid w:val="0078322B"/>
    <w:rsid w:val="00784532"/>
    <w:rsid w:val="007848D0"/>
    <w:rsid w:val="0078492C"/>
    <w:rsid w:val="00784A2B"/>
    <w:rsid w:val="00784A8F"/>
    <w:rsid w:val="00785101"/>
    <w:rsid w:val="007854E4"/>
    <w:rsid w:val="007857B0"/>
    <w:rsid w:val="00785850"/>
    <w:rsid w:val="00785B75"/>
    <w:rsid w:val="00785BA6"/>
    <w:rsid w:val="00785E83"/>
    <w:rsid w:val="00786A46"/>
    <w:rsid w:val="00786B42"/>
    <w:rsid w:val="00786FDA"/>
    <w:rsid w:val="0078792A"/>
    <w:rsid w:val="00790DFE"/>
    <w:rsid w:val="00791A81"/>
    <w:rsid w:val="00791B69"/>
    <w:rsid w:val="00792516"/>
    <w:rsid w:val="00792E1E"/>
    <w:rsid w:val="00793427"/>
    <w:rsid w:val="007936DE"/>
    <w:rsid w:val="0079380C"/>
    <w:rsid w:val="007943F2"/>
    <w:rsid w:val="00795414"/>
    <w:rsid w:val="00795726"/>
    <w:rsid w:val="00795A1E"/>
    <w:rsid w:val="00795D26"/>
    <w:rsid w:val="00796237"/>
    <w:rsid w:val="007971F9"/>
    <w:rsid w:val="0079735A"/>
    <w:rsid w:val="0079776F"/>
    <w:rsid w:val="007978EC"/>
    <w:rsid w:val="007A0A58"/>
    <w:rsid w:val="007A124F"/>
    <w:rsid w:val="007A283B"/>
    <w:rsid w:val="007A29A9"/>
    <w:rsid w:val="007A37F6"/>
    <w:rsid w:val="007A40E8"/>
    <w:rsid w:val="007A410F"/>
    <w:rsid w:val="007A41CC"/>
    <w:rsid w:val="007A6C2E"/>
    <w:rsid w:val="007A7154"/>
    <w:rsid w:val="007A767A"/>
    <w:rsid w:val="007B02D7"/>
    <w:rsid w:val="007B07F3"/>
    <w:rsid w:val="007B1112"/>
    <w:rsid w:val="007B16D3"/>
    <w:rsid w:val="007B1F51"/>
    <w:rsid w:val="007B214D"/>
    <w:rsid w:val="007B3226"/>
    <w:rsid w:val="007B345A"/>
    <w:rsid w:val="007B3B38"/>
    <w:rsid w:val="007B3F66"/>
    <w:rsid w:val="007B48D3"/>
    <w:rsid w:val="007B52CE"/>
    <w:rsid w:val="007B5D26"/>
    <w:rsid w:val="007B6254"/>
    <w:rsid w:val="007B710F"/>
    <w:rsid w:val="007B77C3"/>
    <w:rsid w:val="007C05AD"/>
    <w:rsid w:val="007C0DB9"/>
    <w:rsid w:val="007C0FFD"/>
    <w:rsid w:val="007C182B"/>
    <w:rsid w:val="007C1A19"/>
    <w:rsid w:val="007C1EAD"/>
    <w:rsid w:val="007C227F"/>
    <w:rsid w:val="007C2792"/>
    <w:rsid w:val="007C2AAD"/>
    <w:rsid w:val="007C3626"/>
    <w:rsid w:val="007C383D"/>
    <w:rsid w:val="007C38B1"/>
    <w:rsid w:val="007C394C"/>
    <w:rsid w:val="007C3EBF"/>
    <w:rsid w:val="007C4598"/>
    <w:rsid w:val="007C4907"/>
    <w:rsid w:val="007C513F"/>
    <w:rsid w:val="007C5298"/>
    <w:rsid w:val="007C5935"/>
    <w:rsid w:val="007C654F"/>
    <w:rsid w:val="007C6D63"/>
    <w:rsid w:val="007C6E91"/>
    <w:rsid w:val="007C6EB0"/>
    <w:rsid w:val="007D031C"/>
    <w:rsid w:val="007D0DE7"/>
    <w:rsid w:val="007D1678"/>
    <w:rsid w:val="007D21DE"/>
    <w:rsid w:val="007D2AB1"/>
    <w:rsid w:val="007D2B75"/>
    <w:rsid w:val="007D3463"/>
    <w:rsid w:val="007D3F19"/>
    <w:rsid w:val="007D479F"/>
    <w:rsid w:val="007D4A16"/>
    <w:rsid w:val="007D51E9"/>
    <w:rsid w:val="007D5EAE"/>
    <w:rsid w:val="007D64D4"/>
    <w:rsid w:val="007D652E"/>
    <w:rsid w:val="007D7277"/>
    <w:rsid w:val="007D74C5"/>
    <w:rsid w:val="007D78C3"/>
    <w:rsid w:val="007D7F44"/>
    <w:rsid w:val="007E1533"/>
    <w:rsid w:val="007E193F"/>
    <w:rsid w:val="007E1D70"/>
    <w:rsid w:val="007E21F1"/>
    <w:rsid w:val="007E220B"/>
    <w:rsid w:val="007E2555"/>
    <w:rsid w:val="007E2D1A"/>
    <w:rsid w:val="007E3B0D"/>
    <w:rsid w:val="007E3BCF"/>
    <w:rsid w:val="007E57EB"/>
    <w:rsid w:val="007E5968"/>
    <w:rsid w:val="007E5C0A"/>
    <w:rsid w:val="007E64CF"/>
    <w:rsid w:val="007E6816"/>
    <w:rsid w:val="007E787F"/>
    <w:rsid w:val="007E7CF9"/>
    <w:rsid w:val="007F0B62"/>
    <w:rsid w:val="007F1374"/>
    <w:rsid w:val="007F23D1"/>
    <w:rsid w:val="007F244B"/>
    <w:rsid w:val="007F259D"/>
    <w:rsid w:val="007F26C0"/>
    <w:rsid w:val="007F3DFC"/>
    <w:rsid w:val="007F4590"/>
    <w:rsid w:val="007F4DA1"/>
    <w:rsid w:val="007F5A89"/>
    <w:rsid w:val="007F6436"/>
    <w:rsid w:val="007F68E2"/>
    <w:rsid w:val="007F6A5D"/>
    <w:rsid w:val="007F6D30"/>
    <w:rsid w:val="007F716C"/>
    <w:rsid w:val="007F721A"/>
    <w:rsid w:val="007F7668"/>
    <w:rsid w:val="0080035E"/>
    <w:rsid w:val="0080046B"/>
    <w:rsid w:val="00800A25"/>
    <w:rsid w:val="00800AB4"/>
    <w:rsid w:val="00801491"/>
    <w:rsid w:val="00802CEA"/>
    <w:rsid w:val="008034FB"/>
    <w:rsid w:val="0080355B"/>
    <w:rsid w:val="00804000"/>
    <w:rsid w:val="008041E1"/>
    <w:rsid w:val="008048FD"/>
    <w:rsid w:val="00804FBA"/>
    <w:rsid w:val="00805C1D"/>
    <w:rsid w:val="008063B1"/>
    <w:rsid w:val="008067C0"/>
    <w:rsid w:val="00806A86"/>
    <w:rsid w:val="00806B27"/>
    <w:rsid w:val="00806CC5"/>
    <w:rsid w:val="0080765C"/>
    <w:rsid w:val="00807772"/>
    <w:rsid w:val="0080780C"/>
    <w:rsid w:val="008107B0"/>
    <w:rsid w:val="00810890"/>
    <w:rsid w:val="0081107B"/>
    <w:rsid w:val="008110CE"/>
    <w:rsid w:val="0081170A"/>
    <w:rsid w:val="00811801"/>
    <w:rsid w:val="00811D58"/>
    <w:rsid w:val="008126B5"/>
    <w:rsid w:val="00812B44"/>
    <w:rsid w:val="0081314B"/>
    <w:rsid w:val="008131EC"/>
    <w:rsid w:val="00814318"/>
    <w:rsid w:val="00814B8B"/>
    <w:rsid w:val="00815443"/>
    <w:rsid w:val="00815E00"/>
    <w:rsid w:val="00815E93"/>
    <w:rsid w:val="00816266"/>
    <w:rsid w:val="00816576"/>
    <w:rsid w:val="0081658A"/>
    <w:rsid w:val="00816B2E"/>
    <w:rsid w:val="00817710"/>
    <w:rsid w:val="00817B00"/>
    <w:rsid w:val="00817C89"/>
    <w:rsid w:val="00817D60"/>
    <w:rsid w:val="00820DEB"/>
    <w:rsid w:val="00820F0C"/>
    <w:rsid w:val="00821C07"/>
    <w:rsid w:val="00822188"/>
    <w:rsid w:val="00822E05"/>
    <w:rsid w:val="00823D8B"/>
    <w:rsid w:val="0082466A"/>
    <w:rsid w:val="00824FBF"/>
    <w:rsid w:val="008259C6"/>
    <w:rsid w:val="0082626E"/>
    <w:rsid w:val="00826497"/>
    <w:rsid w:val="008265BB"/>
    <w:rsid w:val="008304C8"/>
    <w:rsid w:val="00830821"/>
    <w:rsid w:val="00830B25"/>
    <w:rsid w:val="00831489"/>
    <w:rsid w:val="00831911"/>
    <w:rsid w:val="00831C6A"/>
    <w:rsid w:val="00832D20"/>
    <w:rsid w:val="00832E71"/>
    <w:rsid w:val="008330E3"/>
    <w:rsid w:val="00833173"/>
    <w:rsid w:val="0083356B"/>
    <w:rsid w:val="00833703"/>
    <w:rsid w:val="008338F8"/>
    <w:rsid w:val="00833E60"/>
    <w:rsid w:val="00833FE1"/>
    <w:rsid w:val="008347CC"/>
    <w:rsid w:val="0083574E"/>
    <w:rsid w:val="00835A4D"/>
    <w:rsid w:val="008361A5"/>
    <w:rsid w:val="0083727E"/>
    <w:rsid w:val="00840124"/>
    <w:rsid w:val="008401CB"/>
    <w:rsid w:val="00840C53"/>
    <w:rsid w:val="0084107E"/>
    <w:rsid w:val="0084130A"/>
    <w:rsid w:val="00841B8F"/>
    <w:rsid w:val="00841E35"/>
    <w:rsid w:val="0084337D"/>
    <w:rsid w:val="00843D70"/>
    <w:rsid w:val="00843DAC"/>
    <w:rsid w:val="00844AEA"/>
    <w:rsid w:val="0084574C"/>
    <w:rsid w:val="00846DBA"/>
    <w:rsid w:val="008470E0"/>
    <w:rsid w:val="0084776A"/>
    <w:rsid w:val="008477FA"/>
    <w:rsid w:val="008500BB"/>
    <w:rsid w:val="0085017D"/>
    <w:rsid w:val="00850DD3"/>
    <w:rsid w:val="008515D0"/>
    <w:rsid w:val="00851E3D"/>
    <w:rsid w:val="00852423"/>
    <w:rsid w:val="00854FFA"/>
    <w:rsid w:val="00856255"/>
    <w:rsid w:val="008567F7"/>
    <w:rsid w:val="008569AB"/>
    <w:rsid w:val="00856B79"/>
    <w:rsid w:val="00857977"/>
    <w:rsid w:val="00857F24"/>
    <w:rsid w:val="00857F8F"/>
    <w:rsid w:val="008608AD"/>
    <w:rsid w:val="008608FF"/>
    <w:rsid w:val="00861590"/>
    <w:rsid w:val="008617E3"/>
    <w:rsid w:val="00861822"/>
    <w:rsid w:val="008629EE"/>
    <w:rsid w:val="00862B71"/>
    <w:rsid w:val="00862E97"/>
    <w:rsid w:val="00863905"/>
    <w:rsid w:val="00863FED"/>
    <w:rsid w:val="008644B4"/>
    <w:rsid w:val="00864C42"/>
    <w:rsid w:val="00864E85"/>
    <w:rsid w:val="00864F3D"/>
    <w:rsid w:val="0086521A"/>
    <w:rsid w:val="0086732B"/>
    <w:rsid w:val="008679BF"/>
    <w:rsid w:val="00867AFC"/>
    <w:rsid w:val="00867B84"/>
    <w:rsid w:val="00870567"/>
    <w:rsid w:val="008705E2"/>
    <w:rsid w:val="00870780"/>
    <w:rsid w:val="008707E9"/>
    <w:rsid w:val="0087088E"/>
    <w:rsid w:val="00870A9A"/>
    <w:rsid w:val="00870D61"/>
    <w:rsid w:val="00870F34"/>
    <w:rsid w:val="00872EAC"/>
    <w:rsid w:val="0087356C"/>
    <w:rsid w:val="00873ED2"/>
    <w:rsid w:val="00874067"/>
    <w:rsid w:val="00874EE7"/>
    <w:rsid w:val="00874FCF"/>
    <w:rsid w:val="008752B1"/>
    <w:rsid w:val="008754AD"/>
    <w:rsid w:val="00876D3E"/>
    <w:rsid w:val="00876D80"/>
    <w:rsid w:val="008779AD"/>
    <w:rsid w:val="008779F9"/>
    <w:rsid w:val="00877CD4"/>
    <w:rsid w:val="00881639"/>
    <w:rsid w:val="00881E8D"/>
    <w:rsid w:val="00882519"/>
    <w:rsid w:val="008826E2"/>
    <w:rsid w:val="0088289F"/>
    <w:rsid w:val="00882988"/>
    <w:rsid w:val="00882C7D"/>
    <w:rsid w:val="008831A5"/>
    <w:rsid w:val="00883842"/>
    <w:rsid w:val="008845AE"/>
    <w:rsid w:val="00884C13"/>
    <w:rsid w:val="00884D3D"/>
    <w:rsid w:val="00884DED"/>
    <w:rsid w:val="00885196"/>
    <w:rsid w:val="00885A73"/>
    <w:rsid w:val="00886AD3"/>
    <w:rsid w:val="00886E74"/>
    <w:rsid w:val="00890CD9"/>
    <w:rsid w:val="00891237"/>
    <w:rsid w:val="008918F3"/>
    <w:rsid w:val="008920CC"/>
    <w:rsid w:val="00892231"/>
    <w:rsid w:val="00892941"/>
    <w:rsid w:val="00892D1B"/>
    <w:rsid w:val="00892F13"/>
    <w:rsid w:val="00893A6B"/>
    <w:rsid w:val="00893AAD"/>
    <w:rsid w:val="00894A3E"/>
    <w:rsid w:val="00894B2E"/>
    <w:rsid w:val="00895309"/>
    <w:rsid w:val="00895321"/>
    <w:rsid w:val="008956C9"/>
    <w:rsid w:val="00896616"/>
    <w:rsid w:val="0089693F"/>
    <w:rsid w:val="00896BA1"/>
    <w:rsid w:val="00896D88"/>
    <w:rsid w:val="008A051A"/>
    <w:rsid w:val="008A1063"/>
    <w:rsid w:val="008A2432"/>
    <w:rsid w:val="008A27EC"/>
    <w:rsid w:val="008A2B70"/>
    <w:rsid w:val="008A3218"/>
    <w:rsid w:val="008A3237"/>
    <w:rsid w:val="008A3EA0"/>
    <w:rsid w:val="008A3F83"/>
    <w:rsid w:val="008A3FD7"/>
    <w:rsid w:val="008A4C0E"/>
    <w:rsid w:val="008A4E00"/>
    <w:rsid w:val="008A4ECA"/>
    <w:rsid w:val="008A52AB"/>
    <w:rsid w:val="008A5D2F"/>
    <w:rsid w:val="008A6DF1"/>
    <w:rsid w:val="008A6F1B"/>
    <w:rsid w:val="008A72D8"/>
    <w:rsid w:val="008B0281"/>
    <w:rsid w:val="008B068C"/>
    <w:rsid w:val="008B0A14"/>
    <w:rsid w:val="008B0BDA"/>
    <w:rsid w:val="008B0CEF"/>
    <w:rsid w:val="008B1639"/>
    <w:rsid w:val="008B175E"/>
    <w:rsid w:val="008B224A"/>
    <w:rsid w:val="008B2C13"/>
    <w:rsid w:val="008B2CFD"/>
    <w:rsid w:val="008B3022"/>
    <w:rsid w:val="008B371D"/>
    <w:rsid w:val="008B391D"/>
    <w:rsid w:val="008B3F0C"/>
    <w:rsid w:val="008B48CD"/>
    <w:rsid w:val="008B4968"/>
    <w:rsid w:val="008B4D87"/>
    <w:rsid w:val="008B4F69"/>
    <w:rsid w:val="008B52BB"/>
    <w:rsid w:val="008B59E6"/>
    <w:rsid w:val="008B7436"/>
    <w:rsid w:val="008B74AA"/>
    <w:rsid w:val="008B7AC8"/>
    <w:rsid w:val="008B7E6D"/>
    <w:rsid w:val="008C22A0"/>
    <w:rsid w:val="008C248B"/>
    <w:rsid w:val="008C269F"/>
    <w:rsid w:val="008C375A"/>
    <w:rsid w:val="008C3B00"/>
    <w:rsid w:val="008C4567"/>
    <w:rsid w:val="008C69F4"/>
    <w:rsid w:val="008D0433"/>
    <w:rsid w:val="008D0B95"/>
    <w:rsid w:val="008D130C"/>
    <w:rsid w:val="008D1CA6"/>
    <w:rsid w:val="008D248C"/>
    <w:rsid w:val="008D28AA"/>
    <w:rsid w:val="008D2D2D"/>
    <w:rsid w:val="008D3117"/>
    <w:rsid w:val="008D3A08"/>
    <w:rsid w:val="008D404A"/>
    <w:rsid w:val="008D548C"/>
    <w:rsid w:val="008D5A37"/>
    <w:rsid w:val="008D7DD7"/>
    <w:rsid w:val="008E014B"/>
    <w:rsid w:val="008E08A6"/>
    <w:rsid w:val="008E1EBF"/>
    <w:rsid w:val="008E2FB6"/>
    <w:rsid w:val="008E389C"/>
    <w:rsid w:val="008E3A27"/>
    <w:rsid w:val="008E3B07"/>
    <w:rsid w:val="008E4732"/>
    <w:rsid w:val="008E4762"/>
    <w:rsid w:val="008E4967"/>
    <w:rsid w:val="008E4D3B"/>
    <w:rsid w:val="008E4EA3"/>
    <w:rsid w:val="008E64EA"/>
    <w:rsid w:val="008E6596"/>
    <w:rsid w:val="008E71A5"/>
    <w:rsid w:val="008E7477"/>
    <w:rsid w:val="008E773E"/>
    <w:rsid w:val="008E78F2"/>
    <w:rsid w:val="008E7958"/>
    <w:rsid w:val="008E7E27"/>
    <w:rsid w:val="008F0E43"/>
    <w:rsid w:val="008F1167"/>
    <w:rsid w:val="008F15FF"/>
    <w:rsid w:val="008F16F4"/>
    <w:rsid w:val="008F2145"/>
    <w:rsid w:val="008F2A86"/>
    <w:rsid w:val="008F2FE4"/>
    <w:rsid w:val="008F32BE"/>
    <w:rsid w:val="008F343F"/>
    <w:rsid w:val="008F3644"/>
    <w:rsid w:val="008F3BA5"/>
    <w:rsid w:val="008F3E79"/>
    <w:rsid w:val="008F423E"/>
    <w:rsid w:val="008F4A3A"/>
    <w:rsid w:val="008F4C42"/>
    <w:rsid w:val="008F528B"/>
    <w:rsid w:val="008F59F4"/>
    <w:rsid w:val="008F5CCB"/>
    <w:rsid w:val="008F693A"/>
    <w:rsid w:val="008F6E8D"/>
    <w:rsid w:val="008F7E60"/>
    <w:rsid w:val="00900195"/>
    <w:rsid w:val="009004A8"/>
    <w:rsid w:val="00902F40"/>
    <w:rsid w:val="00902FCE"/>
    <w:rsid w:val="009039EC"/>
    <w:rsid w:val="00903B9C"/>
    <w:rsid w:val="00904A3E"/>
    <w:rsid w:val="00905124"/>
    <w:rsid w:val="00905C74"/>
    <w:rsid w:val="00906ACC"/>
    <w:rsid w:val="00906E10"/>
    <w:rsid w:val="00906F4E"/>
    <w:rsid w:val="00906F8B"/>
    <w:rsid w:val="0090704A"/>
    <w:rsid w:val="009074D0"/>
    <w:rsid w:val="00907BD9"/>
    <w:rsid w:val="0091054C"/>
    <w:rsid w:val="00910994"/>
    <w:rsid w:val="00911578"/>
    <w:rsid w:val="00911C24"/>
    <w:rsid w:val="00911FB1"/>
    <w:rsid w:val="0091202C"/>
    <w:rsid w:val="0091215E"/>
    <w:rsid w:val="009124F2"/>
    <w:rsid w:val="00912B7A"/>
    <w:rsid w:val="00912F52"/>
    <w:rsid w:val="009132A3"/>
    <w:rsid w:val="0091358A"/>
    <w:rsid w:val="00913AF2"/>
    <w:rsid w:val="00913DF3"/>
    <w:rsid w:val="00914205"/>
    <w:rsid w:val="00914755"/>
    <w:rsid w:val="00915264"/>
    <w:rsid w:val="00915E78"/>
    <w:rsid w:val="0091667E"/>
    <w:rsid w:val="00916CD1"/>
    <w:rsid w:val="00917BC1"/>
    <w:rsid w:val="009202A2"/>
    <w:rsid w:val="009205A9"/>
    <w:rsid w:val="00920665"/>
    <w:rsid w:val="009206F9"/>
    <w:rsid w:val="00920754"/>
    <w:rsid w:val="00920A5B"/>
    <w:rsid w:val="00920AED"/>
    <w:rsid w:val="009212ED"/>
    <w:rsid w:val="00921346"/>
    <w:rsid w:val="00921510"/>
    <w:rsid w:val="009215FD"/>
    <w:rsid w:val="00921A4A"/>
    <w:rsid w:val="00921B4A"/>
    <w:rsid w:val="00921D6E"/>
    <w:rsid w:val="00923BD1"/>
    <w:rsid w:val="00923D4F"/>
    <w:rsid w:val="00924664"/>
    <w:rsid w:val="00924F58"/>
    <w:rsid w:val="009253BD"/>
    <w:rsid w:val="009258CA"/>
    <w:rsid w:val="00925CAF"/>
    <w:rsid w:val="00925F53"/>
    <w:rsid w:val="00926824"/>
    <w:rsid w:val="009272EE"/>
    <w:rsid w:val="009302F9"/>
    <w:rsid w:val="0093095D"/>
    <w:rsid w:val="00930B0E"/>
    <w:rsid w:val="00930FF4"/>
    <w:rsid w:val="009313DF"/>
    <w:rsid w:val="0093171A"/>
    <w:rsid w:val="00931DCD"/>
    <w:rsid w:val="00933079"/>
    <w:rsid w:val="00933475"/>
    <w:rsid w:val="00933770"/>
    <w:rsid w:val="00933C4D"/>
    <w:rsid w:val="009340F0"/>
    <w:rsid w:val="0093545C"/>
    <w:rsid w:val="00935483"/>
    <w:rsid w:val="009354D7"/>
    <w:rsid w:val="009361C8"/>
    <w:rsid w:val="00937EC3"/>
    <w:rsid w:val="00940826"/>
    <w:rsid w:val="00941F1F"/>
    <w:rsid w:val="00943338"/>
    <w:rsid w:val="009436A7"/>
    <w:rsid w:val="00944577"/>
    <w:rsid w:val="0094476A"/>
    <w:rsid w:val="009448E1"/>
    <w:rsid w:val="00944E32"/>
    <w:rsid w:val="009454D7"/>
    <w:rsid w:val="009456D0"/>
    <w:rsid w:val="00945914"/>
    <w:rsid w:val="009463E6"/>
    <w:rsid w:val="00946AA7"/>
    <w:rsid w:val="00946D56"/>
    <w:rsid w:val="009504CE"/>
    <w:rsid w:val="00950BBC"/>
    <w:rsid w:val="00951605"/>
    <w:rsid w:val="00951668"/>
    <w:rsid w:val="00951A5A"/>
    <w:rsid w:val="00952058"/>
    <w:rsid w:val="0095221F"/>
    <w:rsid w:val="0095288F"/>
    <w:rsid w:val="00953B30"/>
    <w:rsid w:val="00953FF2"/>
    <w:rsid w:val="00954224"/>
    <w:rsid w:val="009543D7"/>
    <w:rsid w:val="00954761"/>
    <w:rsid w:val="0095539C"/>
    <w:rsid w:val="0095623B"/>
    <w:rsid w:val="00956274"/>
    <w:rsid w:val="009574ED"/>
    <w:rsid w:val="00961055"/>
    <w:rsid w:val="00961450"/>
    <w:rsid w:val="00962FD0"/>
    <w:rsid w:val="009640E3"/>
    <w:rsid w:val="00964F84"/>
    <w:rsid w:val="00966568"/>
    <w:rsid w:val="00966AE6"/>
    <w:rsid w:val="00966F4A"/>
    <w:rsid w:val="00967564"/>
    <w:rsid w:val="009700AC"/>
    <w:rsid w:val="00970143"/>
    <w:rsid w:val="00970206"/>
    <w:rsid w:val="009702EC"/>
    <w:rsid w:val="0097077E"/>
    <w:rsid w:val="00970C52"/>
    <w:rsid w:val="009710DF"/>
    <w:rsid w:val="0097141D"/>
    <w:rsid w:val="0097143C"/>
    <w:rsid w:val="00971569"/>
    <w:rsid w:val="0097174A"/>
    <w:rsid w:val="009725DA"/>
    <w:rsid w:val="009726DD"/>
    <w:rsid w:val="00973B07"/>
    <w:rsid w:val="00974F4E"/>
    <w:rsid w:val="0097518D"/>
    <w:rsid w:val="009753E2"/>
    <w:rsid w:val="0097541D"/>
    <w:rsid w:val="0097652F"/>
    <w:rsid w:val="0097659C"/>
    <w:rsid w:val="00976998"/>
    <w:rsid w:val="00976AE5"/>
    <w:rsid w:val="00976E3F"/>
    <w:rsid w:val="009778EC"/>
    <w:rsid w:val="00977C50"/>
    <w:rsid w:val="0098049E"/>
    <w:rsid w:val="009808B7"/>
    <w:rsid w:val="0098377A"/>
    <w:rsid w:val="009846D6"/>
    <w:rsid w:val="009849E8"/>
    <w:rsid w:val="00984D69"/>
    <w:rsid w:val="00985B8B"/>
    <w:rsid w:val="00985ED1"/>
    <w:rsid w:val="009867CA"/>
    <w:rsid w:val="00986AE6"/>
    <w:rsid w:val="00986BCE"/>
    <w:rsid w:val="00987E0C"/>
    <w:rsid w:val="00987E9D"/>
    <w:rsid w:val="00987EC8"/>
    <w:rsid w:val="00990122"/>
    <w:rsid w:val="00990158"/>
    <w:rsid w:val="0099066A"/>
    <w:rsid w:val="00990AFB"/>
    <w:rsid w:val="00991F72"/>
    <w:rsid w:val="00992030"/>
    <w:rsid w:val="009920DA"/>
    <w:rsid w:val="0099236B"/>
    <w:rsid w:val="00992471"/>
    <w:rsid w:val="009924C2"/>
    <w:rsid w:val="009929CD"/>
    <w:rsid w:val="00992FB6"/>
    <w:rsid w:val="009932CC"/>
    <w:rsid w:val="009933B0"/>
    <w:rsid w:val="009933DC"/>
    <w:rsid w:val="00994953"/>
    <w:rsid w:val="00994DBA"/>
    <w:rsid w:val="00994E9F"/>
    <w:rsid w:val="00995B0B"/>
    <w:rsid w:val="00996BFA"/>
    <w:rsid w:val="00997773"/>
    <w:rsid w:val="009977DD"/>
    <w:rsid w:val="009978CC"/>
    <w:rsid w:val="00997917"/>
    <w:rsid w:val="009A0D10"/>
    <w:rsid w:val="009A1F0B"/>
    <w:rsid w:val="009A24D1"/>
    <w:rsid w:val="009A2A95"/>
    <w:rsid w:val="009A2BC6"/>
    <w:rsid w:val="009A3098"/>
    <w:rsid w:val="009A3468"/>
    <w:rsid w:val="009A3F1E"/>
    <w:rsid w:val="009A456A"/>
    <w:rsid w:val="009A45CE"/>
    <w:rsid w:val="009A4BB7"/>
    <w:rsid w:val="009A4F2D"/>
    <w:rsid w:val="009A523F"/>
    <w:rsid w:val="009A57A1"/>
    <w:rsid w:val="009A6BE8"/>
    <w:rsid w:val="009A6E19"/>
    <w:rsid w:val="009A7821"/>
    <w:rsid w:val="009B02F1"/>
    <w:rsid w:val="009B0D8D"/>
    <w:rsid w:val="009B0FAB"/>
    <w:rsid w:val="009B11DD"/>
    <w:rsid w:val="009B2A42"/>
    <w:rsid w:val="009B3135"/>
    <w:rsid w:val="009B416F"/>
    <w:rsid w:val="009B49DB"/>
    <w:rsid w:val="009B4A1F"/>
    <w:rsid w:val="009B4AAB"/>
    <w:rsid w:val="009B4F31"/>
    <w:rsid w:val="009B5F89"/>
    <w:rsid w:val="009B6F87"/>
    <w:rsid w:val="009B7AF7"/>
    <w:rsid w:val="009B7C3E"/>
    <w:rsid w:val="009B7C9A"/>
    <w:rsid w:val="009C0217"/>
    <w:rsid w:val="009C0DEE"/>
    <w:rsid w:val="009C12C0"/>
    <w:rsid w:val="009C13A8"/>
    <w:rsid w:val="009C14DA"/>
    <w:rsid w:val="009C1814"/>
    <w:rsid w:val="009C2233"/>
    <w:rsid w:val="009C2D82"/>
    <w:rsid w:val="009C3649"/>
    <w:rsid w:val="009C449A"/>
    <w:rsid w:val="009C4A25"/>
    <w:rsid w:val="009C4BA3"/>
    <w:rsid w:val="009C5069"/>
    <w:rsid w:val="009C515F"/>
    <w:rsid w:val="009C53EE"/>
    <w:rsid w:val="009C5D67"/>
    <w:rsid w:val="009C67D1"/>
    <w:rsid w:val="009C67FA"/>
    <w:rsid w:val="009C6860"/>
    <w:rsid w:val="009C69CF"/>
    <w:rsid w:val="009C7024"/>
    <w:rsid w:val="009C782C"/>
    <w:rsid w:val="009D034B"/>
    <w:rsid w:val="009D0C2E"/>
    <w:rsid w:val="009D1C26"/>
    <w:rsid w:val="009D3899"/>
    <w:rsid w:val="009D3D18"/>
    <w:rsid w:val="009D3ED4"/>
    <w:rsid w:val="009D42EA"/>
    <w:rsid w:val="009D45AF"/>
    <w:rsid w:val="009D5897"/>
    <w:rsid w:val="009D5900"/>
    <w:rsid w:val="009D7E3E"/>
    <w:rsid w:val="009D7EB4"/>
    <w:rsid w:val="009E1271"/>
    <w:rsid w:val="009E19A8"/>
    <w:rsid w:val="009E19E0"/>
    <w:rsid w:val="009E1DEB"/>
    <w:rsid w:val="009E2303"/>
    <w:rsid w:val="009E26C9"/>
    <w:rsid w:val="009E2BF5"/>
    <w:rsid w:val="009E470C"/>
    <w:rsid w:val="009E491E"/>
    <w:rsid w:val="009E5599"/>
    <w:rsid w:val="009E559B"/>
    <w:rsid w:val="009E57B1"/>
    <w:rsid w:val="009E6062"/>
    <w:rsid w:val="009E685D"/>
    <w:rsid w:val="009E696A"/>
    <w:rsid w:val="009E6AAD"/>
    <w:rsid w:val="009E6E0D"/>
    <w:rsid w:val="009E7601"/>
    <w:rsid w:val="009E7A08"/>
    <w:rsid w:val="009E7D98"/>
    <w:rsid w:val="009F0A66"/>
    <w:rsid w:val="009F0F79"/>
    <w:rsid w:val="009F23F0"/>
    <w:rsid w:val="009F3D25"/>
    <w:rsid w:val="009F4278"/>
    <w:rsid w:val="009F43F2"/>
    <w:rsid w:val="009F4970"/>
    <w:rsid w:val="009F49B0"/>
    <w:rsid w:val="009F5369"/>
    <w:rsid w:val="009F5A47"/>
    <w:rsid w:val="009F5E65"/>
    <w:rsid w:val="009F632B"/>
    <w:rsid w:val="009F639A"/>
    <w:rsid w:val="009F780A"/>
    <w:rsid w:val="009F7952"/>
    <w:rsid w:val="009F7BA2"/>
    <w:rsid w:val="00A002AA"/>
    <w:rsid w:val="00A01B86"/>
    <w:rsid w:val="00A01C3B"/>
    <w:rsid w:val="00A01D56"/>
    <w:rsid w:val="00A025D7"/>
    <w:rsid w:val="00A02A1B"/>
    <w:rsid w:val="00A03591"/>
    <w:rsid w:val="00A0450F"/>
    <w:rsid w:val="00A04A6C"/>
    <w:rsid w:val="00A04E3F"/>
    <w:rsid w:val="00A05C19"/>
    <w:rsid w:val="00A05FDF"/>
    <w:rsid w:val="00A07043"/>
    <w:rsid w:val="00A0727C"/>
    <w:rsid w:val="00A07626"/>
    <w:rsid w:val="00A11456"/>
    <w:rsid w:val="00A11598"/>
    <w:rsid w:val="00A1194E"/>
    <w:rsid w:val="00A12C24"/>
    <w:rsid w:val="00A12CC0"/>
    <w:rsid w:val="00A13065"/>
    <w:rsid w:val="00A150D3"/>
    <w:rsid w:val="00A15C73"/>
    <w:rsid w:val="00A20238"/>
    <w:rsid w:val="00A202EB"/>
    <w:rsid w:val="00A212F5"/>
    <w:rsid w:val="00A217D9"/>
    <w:rsid w:val="00A22E52"/>
    <w:rsid w:val="00A230BC"/>
    <w:rsid w:val="00A2571C"/>
    <w:rsid w:val="00A25891"/>
    <w:rsid w:val="00A26527"/>
    <w:rsid w:val="00A26897"/>
    <w:rsid w:val="00A27067"/>
    <w:rsid w:val="00A27C80"/>
    <w:rsid w:val="00A27EBA"/>
    <w:rsid w:val="00A314CC"/>
    <w:rsid w:val="00A32335"/>
    <w:rsid w:val="00A33197"/>
    <w:rsid w:val="00A343C4"/>
    <w:rsid w:val="00A3608F"/>
    <w:rsid w:val="00A368FD"/>
    <w:rsid w:val="00A36971"/>
    <w:rsid w:val="00A37085"/>
    <w:rsid w:val="00A3761E"/>
    <w:rsid w:val="00A37CDD"/>
    <w:rsid w:val="00A37CDF"/>
    <w:rsid w:val="00A37D34"/>
    <w:rsid w:val="00A40246"/>
    <w:rsid w:val="00A41029"/>
    <w:rsid w:val="00A41D18"/>
    <w:rsid w:val="00A41F6F"/>
    <w:rsid w:val="00A42DD2"/>
    <w:rsid w:val="00A431A3"/>
    <w:rsid w:val="00A43A81"/>
    <w:rsid w:val="00A43C65"/>
    <w:rsid w:val="00A43FDF"/>
    <w:rsid w:val="00A44308"/>
    <w:rsid w:val="00A44545"/>
    <w:rsid w:val="00A446BF"/>
    <w:rsid w:val="00A44CBF"/>
    <w:rsid w:val="00A44F33"/>
    <w:rsid w:val="00A45035"/>
    <w:rsid w:val="00A45716"/>
    <w:rsid w:val="00A458D3"/>
    <w:rsid w:val="00A45B90"/>
    <w:rsid w:val="00A4641C"/>
    <w:rsid w:val="00A465AE"/>
    <w:rsid w:val="00A475B4"/>
    <w:rsid w:val="00A47737"/>
    <w:rsid w:val="00A5032B"/>
    <w:rsid w:val="00A5050D"/>
    <w:rsid w:val="00A50C50"/>
    <w:rsid w:val="00A51720"/>
    <w:rsid w:val="00A517C0"/>
    <w:rsid w:val="00A518F4"/>
    <w:rsid w:val="00A52A08"/>
    <w:rsid w:val="00A539DD"/>
    <w:rsid w:val="00A54354"/>
    <w:rsid w:val="00A54CCB"/>
    <w:rsid w:val="00A5554F"/>
    <w:rsid w:val="00A5574B"/>
    <w:rsid w:val="00A56F3B"/>
    <w:rsid w:val="00A5703A"/>
    <w:rsid w:val="00A6006A"/>
    <w:rsid w:val="00A6008A"/>
    <w:rsid w:val="00A60EA4"/>
    <w:rsid w:val="00A60F62"/>
    <w:rsid w:val="00A6128B"/>
    <w:rsid w:val="00A61C59"/>
    <w:rsid w:val="00A61F28"/>
    <w:rsid w:val="00A62350"/>
    <w:rsid w:val="00A628D7"/>
    <w:rsid w:val="00A63C64"/>
    <w:rsid w:val="00A63C87"/>
    <w:rsid w:val="00A64364"/>
    <w:rsid w:val="00A6444B"/>
    <w:rsid w:val="00A65349"/>
    <w:rsid w:val="00A653BA"/>
    <w:rsid w:val="00A65C7D"/>
    <w:rsid w:val="00A677A7"/>
    <w:rsid w:val="00A67F5F"/>
    <w:rsid w:val="00A70135"/>
    <w:rsid w:val="00A707EC"/>
    <w:rsid w:val="00A70ED0"/>
    <w:rsid w:val="00A71B01"/>
    <w:rsid w:val="00A72001"/>
    <w:rsid w:val="00A72B42"/>
    <w:rsid w:val="00A72FEC"/>
    <w:rsid w:val="00A737CB"/>
    <w:rsid w:val="00A74D3C"/>
    <w:rsid w:val="00A75BE2"/>
    <w:rsid w:val="00A75DA7"/>
    <w:rsid w:val="00A8107B"/>
    <w:rsid w:val="00A810AD"/>
    <w:rsid w:val="00A826A2"/>
    <w:rsid w:val="00A8340E"/>
    <w:rsid w:val="00A83741"/>
    <w:rsid w:val="00A8486A"/>
    <w:rsid w:val="00A84B62"/>
    <w:rsid w:val="00A85194"/>
    <w:rsid w:val="00A85884"/>
    <w:rsid w:val="00A85DC7"/>
    <w:rsid w:val="00A8628F"/>
    <w:rsid w:val="00A862C4"/>
    <w:rsid w:val="00A8642B"/>
    <w:rsid w:val="00A87B13"/>
    <w:rsid w:val="00A87E97"/>
    <w:rsid w:val="00A87E9D"/>
    <w:rsid w:val="00A904CD"/>
    <w:rsid w:val="00A90701"/>
    <w:rsid w:val="00A91884"/>
    <w:rsid w:val="00A91C97"/>
    <w:rsid w:val="00A91F91"/>
    <w:rsid w:val="00A91FD3"/>
    <w:rsid w:val="00A91FE6"/>
    <w:rsid w:val="00A929CA"/>
    <w:rsid w:val="00A9386F"/>
    <w:rsid w:val="00A9437B"/>
    <w:rsid w:val="00A946D1"/>
    <w:rsid w:val="00A94B53"/>
    <w:rsid w:val="00A95D19"/>
    <w:rsid w:val="00A965F2"/>
    <w:rsid w:val="00A96A8F"/>
    <w:rsid w:val="00A97F24"/>
    <w:rsid w:val="00AA03FB"/>
    <w:rsid w:val="00AA0846"/>
    <w:rsid w:val="00AA0C7B"/>
    <w:rsid w:val="00AA1092"/>
    <w:rsid w:val="00AA1613"/>
    <w:rsid w:val="00AA3612"/>
    <w:rsid w:val="00AA3CF5"/>
    <w:rsid w:val="00AA4076"/>
    <w:rsid w:val="00AA4406"/>
    <w:rsid w:val="00AA4507"/>
    <w:rsid w:val="00AA508C"/>
    <w:rsid w:val="00AA55D9"/>
    <w:rsid w:val="00AA5820"/>
    <w:rsid w:val="00AA58AE"/>
    <w:rsid w:val="00AA5962"/>
    <w:rsid w:val="00AA5B1A"/>
    <w:rsid w:val="00AA6698"/>
    <w:rsid w:val="00AA6D2F"/>
    <w:rsid w:val="00AA7253"/>
    <w:rsid w:val="00AA75B0"/>
    <w:rsid w:val="00AB172A"/>
    <w:rsid w:val="00AB2C83"/>
    <w:rsid w:val="00AB2F7C"/>
    <w:rsid w:val="00AB2F8E"/>
    <w:rsid w:val="00AB3833"/>
    <w:rsid w:val="00AB477B"/>
    <w:rsid w:val="00AB4D62"/>
    <w:rsid w:val="00AB5DF1"/>
    <w:rsid w:val="00AB5F01"/>
    <w:rsid w:val="00AB609A"/>
    <w:rsid w:val="00AB61B6"/>
    <w:rsid w:val="00AB63DB"/>
    <w:rsid w:val="00AB67EA"/>
    <w:rsid w:val="00AC0AC8"/>
    <w:rsid w:val="00AC0EDE"/>
    <w:rsid w:val="00AC1553"/>
    <w:rsid w:val="00AC2266"/>
    <w:rsid w:val="00AC25D1"/>
    <w:rsid w:val="00AC2722"/>
    <w:rsid w:val="00AC2843"/>
    <w:rsid w:val="00AC2E6D"/>
    <w:rsid w:val="00AC3482"/>
    <w:rsid w:val="00AC349E"/>
    <w:rsid w:val="00AC494B"/>
    <w:rsid w:val="00AC4CDC"/>
    <w:rsid w:val="00AC4EC0"/>
    <w:rsid w:val="00AC510B"/>
    <w:rsid w:val="00AC5689"/>
    <w:rsid w:val="00AC57F4"/>
    <w:rsid w:val="00AC5A75"/>
    <w:rsid w:val="00AC5E21"/>
    <w:rsid w:val="00AC617C"/>
    <w:rsid w:val="00AC6B5D"/>
    <w:rsid w:val="00AC7787"/>
    <w:rsid w:val="00AC78CD"/>
    <w:rsid w:val="00AC791C"/>
    <w:rsid w:val="00AC7C9C"/>
    <w:rsid w:val="00AD06D3"/>
    <w:rsid w:val="00AD151A"/>
    <w:rsid w:val="00AD17FA"/>
    <w:rsid w:val="00AD1DF4"/>
    <w:rsid w:val="00AD2156"/>
    <w:rsid w:val="00AD243D"/>
    <w:rsid w:val="00AD25D4"/>
    <w:rsid w:val="00AD2883"/>
    <w:rsid w:val="00AD2CFA"/>
    <w:rsid w:val="00AD35B0"/>
    <w:rsid w:val="00AD4794"/>
    <w:rsid w:val="00AD48B2"/>
    <w:rsid w:val="00AD4F6A"/>
    <w:rsid w:val="00AD4FD4"/>
    <w:rsid w:val="00AD529E"/>
    <w:rsid w:val="00AD537B"/>
    <w:rsid w:val="00AD5D21"/>
    <w:rsid w:val="00AD5E32"/>
    <w:rsid w:val="00AD6365"/>
    <w:rsid w:val="00AD638E"/>
    <w:rsid w:val="00AD6F22"/>
    <w:rsid w:val="00AD765A"/>
    <w:rsid w:val="00AE0412"/>
    <w:rsid w:val="00AE0793"/>
    <w:rsid w:val="00AE08AF"/>
    <w:rsid w:val="00AE1833"/>
    <w:rsid w:val="00AE190B"/>
    <w:rsid w:val="00AE2760"/>
    <w:rsid w:val="00AE29FA"/>
    <w:rsid w:val="00AE2A31"/>
    <w:rsid w:val="00AE3792"/>
    <w:rsid w:val="00AE4E40"/>
    <w:rsid w:val="00AE4F6C"/>
    <w:rsid w:val="00AE53D4"/>
    <w:rsid w:val="00AE5D20"/>
    <w:rsid w:val="00AE6318"/>
    <w:rsid w:val="00AE729A"/>
    <w:rsid w:val="00AE7672"/>
    <w:rsid w:val="00AF0227"/>
    <w:rsid w:val="00AF0BF4"/>
    <w:rsid w:val="00AF178B"/>
    <w:rsid w:val="00AF2ADE"/>
    <w:rsid w:val="00AF2C55"/>
    <w:rsid w:val="00AF3016"/>
    <w:rsid w:val="00AF3242"/>
    <w:rsid w:val="00AF3835"/>
    <w:rsid w:val="00AF3BD4"/>
    <w:rsid w:val="00AF3EE7"/>
    <w:rsid w:val="00AF439E"/>
    <w:rsid w:val="00AF52FB"/>
    <w:rsid w:val="00AF53A7"/>
    <w:rsid w:val="00AF5FC0"/>
    <w:rsid w:val="00AF61AC"/>
    <w:rsid w:val="00AF7BB1"/>
    <w:rsid w:val="00AF7DC4"/>
    <w:rsid w:val="00B00B98"/>
    <w:rsid w:val="00B00E13"/>
    <w:rsid w:val="00B01618"/>
    <w:rsid w:val="00B016DD"/>
    <w:rsid w:val="00B01908"/>
    <w:rsid w:val="00B0203C"/>
    <w:rsid w:val="00B027F0"/>
    <w:rsid w:val="00B02962"/>
    <w:rsid w:val="00B032D2"/>
    <w:rsid w:val="00B03C85"/>
    <w:rsid w:val="00B03EF7"/>
    <w:rsid w:val="00B04549"/>
    <w:rsid w:val="00B04801"/>
    <w:rsid w:val="00B04B4E"/>
    <w:rsid w:val="00B04D60"/>
    <w:rsid w:val="00B05738"/>
    <w:rsid w:val="00B0711C"/>
    <w:rsid w:val="00B0795E"/>
    <w:rsid w:val="00B1067C"/>
    <w:rsid w:val="00B10E55"/>
    <w:rsid w:val="00B10FDC"/>
    <w:rsid w:val="00B11CB6"/>
    <w:rsid w:val="00B12206"/>
    <w:rsid w:val="00B12405"/>
    <w:rsid w:val="00B12A24"/>
    <w:rsid w:val="00B13A2D"/>
    <w:rsid w:val="00B13BA0"/>
    <w:rsid w:val="00B14264"/>
    <w:rsid w:val="00B145CB"/>
    <w:rsid w:val="00B1478C"/>
    <w:rsid w:val="00B148D6"/>
    <w:rsid w:val="00B14BF8"/>
    <w:rsid w:val="00B14C45"/>
    <w:rsid w:val="00B15B8A"/>
    <w:rsid w:val="00B15EBE"/>
    <w:rsid w:val="00B162A0"/>
    <w:rsid w:val="00B1631E"/>
    <w:rsid w:val="00B1644D"/>
    <w:rsid w:val="00B16475"/>
    <w:rsid w:val="00B16B05"/>
    <w:rsid w:val="00B1763C"/>
    <w:rsid w:val="00B17F59"/>
    <w:rsid w:val="00B20052"/>
    <w:rsid w:val="00B2005F"/>
    <w:rsid w:val="00B20E1C"/>
    <w:rsid w:val="00B21343"/>
    <w:rsid w:val="00B215D3"/>
    <w:rsid w:val="00B22247"/>
    <w:rsid w:val="00B23274"/>
    <w:rsid w:val="00B233B2"/>
    <w:rsid w:val="00B23735"/>
    <w:rsid w:val="00B248D5"/>
    <w:rsid w:val="00B24ED5"/>
    <w:rsid w:val="00B2549F"/>
    <w:rsid w:val="00B257AF"/>
    <w:rsid w:val="00B26443"/>
    <w:rsid w:val="00B264F7"/>
    <w:rsid w:val="00B266FD"/>
    <w:rsid w:val="00B26839"/>
    <w:rsid w:val="00B2683C"/>
    <w:rsid w:val="00B26CDC"/>
    <w:rsid w:val="00B26E0F"/>
    <w:rsid w:val="00B27648"/>
    <w:rsid w:val="00B3033F"/>
    <w:rsid w:val="00B30ADB"/>
    <w:rsid w:val="00B31681"/>
    <w:rsid w:val="00B329A9"/>
    <w:rsid w:val="00B32B80"/>
    <w:rsid w:val="00B332C6"/>
    <w:rsid w:val="00B33517"/>
    <w:rsid w:val="00B34D23"/>
    <w:rsid w:val="00B36156"/>
    <w:rsid w:val="00B364F0"/>
    <w:rsid w:val="00B36742"/>
    <w:rsid w:val="00B3769F"/>
    <w:rsid w:val="00B376A1"/>
    <w:rsid w:val="00B37E1D"/>
    <w:rsid w:val="00B37E9F"/>
    <w:rsid w:val="00B4000A"/>
    <w:rsid w:val="00B40187"/>
    <w:rsid w:val="00B401D9"/>
    <w:rsid w:val="00B4052A"/>
    <w:rsid w:val="00B40910"/>
    <w:rsid w:val="00B40CCE"/>
    <w:rsid w:val="00B416C6"/>
    <w:rsid w:val="00B41969"/>
    <w:rsid w:val="00B41E3E"/>
    <w:rsid w:val="00B42827"/>
    <w:rsid w:val="00B429F9"/>
    <w:rsid w:val="00B4325D"/>
    <w:rsid w:val="00B4360C"/>
    <w:rsid w:val="00B43B00"/>
    <w:rsid w:val="00B44F52"/>
    <w:rsid w:val="00B4639B"/>
    <w:rsid w:val="00B46B8A"/>
    <w:rsid w:val="00B46C8F"/>
    <w:rsid w:val="00B46D17"/>
    <w:rsid w:val="00B46F2B"/>
    <w:rsid w:val="00B471F7"/>
    <w:rsid w:val="00B476D5"/>
    <w:rsid w:val="00B477D0"/>
    <w:rsid w:val="00B50CD8"/>
    <w:rsid w:val="00B5150E"/>
    <w:rsid w:val="00B51C69"/>
    <w:rsid w:val="00B51EA1"/>
    <w:rsid w:val="00B52158"/>
    <w:rsid w:val="00B521FE"/>
    <w:rsid w:val="00B524DA"/>
    <w:rsid w:val="00B5261E"/>
    <w:rsid w:val="00B539EA"/>
    <w:rsid w:val="00B53D9F"/>
    <w:rsid w:val="00B54018"/>
    <w:rsid w:val="00B54338"/>
    <w:rsid w:val="00B54409"/>
    <w:rsid w:val="00B54895"/>
    <w:rsid w:val="00B55252"/>
    <w:rsid w:val="00B560E6"/>
    <w:rsid w:val="00B56F1C"/>
    <w:rsid w:val="00B574FD"/>
    <w:rsid w:val="00B6038A"/>
    <w:rsid w:val="00B60914"/>
    <w:rsid w:val="00B60D92"/>
    <w:rsid w:val="00B60EE1"/>
    <w:rsid w:val="00B60FA8"/>
    <w:rsid w:val="00B61F7D"/>
    <w:rsid w:val="00B62241"/>
    <w:rsid w:val="00B62737"/>
    <w:rsid w:val="00B627D2"/>
    <w:rsid w:val="00B62D42"/>
    <w:rsid w:val="00B636EA"/>
    <w:rsid w:val="00B64208"/>
    <w:rsid w:val="00B64758"/>
    <w:rsid w:val="00B6497E"/>
    <w:rsid w:val="00B64FDD"/>
    <w:rsid w:val="00B66731"/>
    <w:rsid w:val="00B669C7"/>
    <w:rsid w:val="00B6735C"/>
    <w:rsid w:val="00B677F7"/>
    <w:rsid w:val="00B67803"/>
    <w:rsid w:val="00B67E9C"/>
    <w:rsid w:val="00B70D8C"/>
    <w:rsid w:val="00B7160E"/>
    <w:rsid w:val="00B718AD"/>
    <w:rsid w:val="00B727A7"/>
    <w:rsid w:val="00B72DE1"/>
    <w:rsid w:val="00B734C6"/>
    <w:rsid w:val="00B739D6"/>
    <w:rsid w:val="00B73C11"/>
    <w:rsid w:val="00B7510C"/>
    <w:rsid w:val="00B75BD6"/>
    <w:rsid w:val="00B760D5"/>
    <w:rsid w:val="00B7684B"/>
    <w:rsid w:val="00B768E2"/>
    <w:rsid w:val="00B76937"/>
    <w:rsid w:val="00B7703D"/>
    <w:rsid w:val="00B77A1D"/>
    <w:rsid w:val="00B77FD7"/>
    <w:rsid w:val="00B80109"/>
    <w:rsid w:val="00B80864"/>
    <w:rsid w:val="00B81BE5"/>
    <w:rsid w:val="00B83062"/>
    <w:rsid w:val="00B83116"/>
    <w:rsid w:val="00B8384D"/>
    <w:rsid w:val="00B846D2"/>
    <w:rsid w:val="00B84C2A"/>
    <w:rsid w:val="00B85195"/>
    <w:rsid w:val="00B86479"/>
    <w:rsid w:val="00B865E7"/>
    <w:rsid w:val="00B86C43"/>
    <w:rsid w:val="00B871DD"/>
    <w:rsid w:val="00B87406"/>
    <w:rsid w:val="00B877FF"/>
    <w:rsid w:val="00B90103"/>
    <w:rsid w:val="00B9089D"/>
    <w:rsid w:val="00B90B67"/>
    <w:rsid w:val="00B90F50"/>
    <w:rsid w:val="00B91C89"/>
    <w:rsid w:val="00B9204C"/>
    <w:rsid w:val="00B92BBA"/>
    <w:rsid w:val="00B934F2"/>
    <w:rsid w:val="00B938FA"/>
    <w:rsid w:val="00B93903"/>
    <w:rsid w:val="00B93B65"/>
    <w:rsid w:val="00B94010"/>
    <w:rsid w:val="00B9409F"/>
    <w:rsid w:val="00B94258"/>
    <w:rsid w:val="00B94A97"/>
    <w:rsid w:val="00B94B3B"/>
    <w:rsid w:val="00B9559D"/>
    <w:rsid w:val="00B958BF"/>
    <w:rsid w:val="00B95B68"/>
    <w:rsid w:val="00B9602C"/>
    <w:rsid w:val="00B967D5"/>
    <w:rsid w:val="00B96B86"/>
    <w:rsid w:val="00B96C0F"/>
    <w:rsid w:val="00B96E11"/>
    <w:rsid w:val="00B97090"/>
    <w:rsid w:val="00B97598"/>
    <w:rsid w:val="00B977A2"/>
    <w:rsid w:val="00B97B6A"/>
    <w:rsid w:val="00BA0FDD"/>
    <w:rsid w:val="00BA1D29"/>
    <w:rsid w:val="00BA28C3"/>
    <w:rsid w:val="00BA290A"/>
    <w:rsid w:val="00BA436C"/>
    <w:rsid w:val="00BA4C3C"/>
    <w:rsid w:val="00BA5D01"/>
    <w:rsid w:val="00BA5DCA"/>
    <w:rsid w:val="00BA6A25"/>
    <w:rsid w:val="00BA7CF0"/>
    <w:rsid w:val="00BB0814"/>
    <w:rsid w:val="00BB112D"/>
    <w:rsid w:val="00BB17B2"/>
    <w:rsid w:val="00BB1834"/>
    <w:rsid w:val="00BB191B"/>
    <w:rsid w:val="00BB1F1E"/>
    <w:rsid w:val="00BB2107"/>
    <w:rsid w:val="00BB2815"/>
    <w:rsid w:val="00BB2A86"/>
    <w:rsid w:val="00BB2B8D"/>
    <w:rsid w:val="00BB3BBF"/>
    <w:rsid w:val="00BB3D9D"/>
    <w:rsid w:val="00BB4428"/>
    <w:rsid w:val="00BB445D"/>
    <w:rsid w:val="00BB45B6"/>
    <w:rsid w:val="00BB4DFD"/>
    <w:rsid w:val="00BB5C39"/>
    <w:rsid w:val="00BB6F3A"/>
    <w:rsid w:val="00BC07D2"/>
    <w:rsid w:val="00BC0885"/>
    <w:rsid w:val="00BC08FE"/>
    <w:rsid w:val="00BC14F6"/>
    <w:rsid w:val="00BC1667"/>
    <w:rsid w:val="00BC1CA3"/>
    <w:rsid w:val="00BC2144"/>
    <w:rsid w:val="00BC236D"/>
    <w:rsid w:val="00BC2AF9"/>
    <w:rsid w:val="00BC2B51"/>
    <w:rsid w:val="00BC2BFD"/>
    <w:rsid w:val="00BC2EB4"/>
    <w:rsid w:val="00BC317F"/>
    <w:rsid w:val="00BC31C9"/>
    <w:rsid w:val="00BC363C"/>
    <w:rsid w:val="00BC3A20"/>
    <w:rsid w:val="00BC3CFA"/>
    <w:rsid w:val="00BC3EFF"/>
    <w:rsid w:val="00BC3F5A"/>
    <w:rsid w:val="00BC4058"/>
    <w:rsid w:val="00BC44E1"/>
    <w:rsid w:val="00BC4A13"/>
    <w:rsid w:val="00BC506E"/>
    <w:rsid w:val="00BC60E1"/>
    <w:rsid w:val="00BC6848"/>
    <w:rsid w:val="00BC6DF0"/>
    <w:rsid w:val="00BC7117"/>
    <w:rsid w:val="00BC746F"/>
    <w:rsid w:val="00BC7578"/>
    <w:rsid w:val="00BD0536"/>
    <w:rsid w:val="00BD074F"/>
    <w:rsid w:val="00BD08E0"/>
    <w:rsid w:val="00BD1C69"/>
    <w:rsid w:val="00BD3424"/>
    <w:rsid w:val="00BD3578"/>
    <w:rsid w:val="00BD3EC7"/>
    <w:rsid w:val="00BD43C8"/>
    <w:rsid w:val="00BD5206"/>
    <w:rsid w:val="00BD5458"/>
    <w:rsid w:val="00BD592F"/>
    <w:rsid w:val="00BD5B16"/>
    <w:rsid w:val="00BD66C4"/>
    <w:rsid w:val="00BD6887"/>
    <w:rsid w:val="00BD72BB"/>
    <w:rsid w:val="00BD764A"/>
    <w:rsid w:val="00BD7F0C"/>
    <w:rsid w:val="00BE0A68"/>
    <w:rsid w:val="00BE13DC"/>
    <w:rsid w:val="00BE1A23"/>
    <w:rsid w:val="00BE1CBA"/>
    <w:rsid w:val="00BE31F2"/>
    <w:rsid w:val="00BE3AD2"/>
    <w:rsid w:val="00BE3FA6"/>
    <w:rsid w:val="00BE4348"/>
    <w:rsid w:val="00BE4AF5"/>
    <w:rsid w:val="00BE5F4D"/>
    <w:rsid w:val="00BE64E6"/>
    <w:rsid w:val="00BE6701"/>
    <w:rsid w:val="00BE6E7C"/>
    <w:rsid w:val="00BE7536"/>
    <w:rsid w:val="00BE7B58"/>
    <w:rsid w:val="00BF07A8"/>
    <w:rsid w:val="00BF0EB1"/>
    <w:rsid w:val="00BF0F8A"/>
    <w:rsid w:val="00BF18C3"/>
    <w:rsid w:val="00BF1E67"/>
    <w:rsid w:val="00BF20F0"/>
    <w:rsid w:val="00BF2271"/>
    <w:rsid w:val="00BF269B"/>
    <w:rsid w:val="00BF2B7C"/>
    <w:rsid w:val="00BF3D56"/>
    <w:rsid w:val="00BF4AB5"/>
    <w:rsid w:val="00BF53CB"/>
    <w:rsid w:val="00BF5A39"/>
    <w:rsid w:val="00BF632D"/>
    <w:rsid w:val="00BF68BA"/>
    <w:rsid w:val="00BF69CA"/>
    <w:rsid w:val="00BF79D2"/>
    <w:rsid w:val="00BF7B72"/>
    <w:rsid w:val="00C00A13"/>
    <w:rsid w:val="00C019B1"/>
    <w:rsid w:val="00C02F6B"/>
    <w:rsid w:val="00C02F8D"/>
    <w:rsid w:val="00C0319B"/>
    <w:rsid w:val="00C03901"/>
    <w:rsid w:val="00C03A9D"/>
    <w:rsid w:val="00C03CE9"/>
    <w:rsid w:val="00C04508"/>
    <w:rsid w:val="00C04E35"/>
    <w:rsid w:val="00C05CFB"/>
    <w:rsid w:val="00C05D96"/>
    <w:rsid w:val="00C07350"/>
    <w:rsid w:val="00C10C16"/>
    <w:rsid w:val="00C10D5B"/>
    <w:rsid w:val="00C1154F"/>
    <w:rsid w:val="00C11723"/>
    <w:rsid w:val="00C12C1C"/>
    <w:rsid w:val="00C12C1D"/>
    <w:rsid w:val="00C133A0"/>
    <w:rsid w:val="00C13698"/>
    <w:rsid w:val="00C14144"/>
    <w:rsid w:val="00C141D5"/>
    <w:rsid w:val="00C1461F"/>
    <w:rsid w:val="00C14FA9"/>
    <w:rsid w:val="00C15080"/>
    <w:rsid w:val="00C15415"/>
    <w:rsid w:val="00C156C1"/>
    <w:rsid w:val="00C15733"/>
    <w:rsid w:val="00C15C8F"/>
    <w:rsid w:val="00C168BC"/>
    <w:rsid w:val="00C16C2C"/>
    <w:rsid w:val="00C16E5A"/>
    <w:rsid w:val="00C172CE"/>
    <w:rsid w:val="00C1740B"/>
    <w:rsid w:val="00C17496"/>
    <w:rsid w:val="00C175EE"/>
    <w:rsid w:val="00C17CC7"/>
    <w:rsid w:val="00C20296"/>
    <w:rsid w:val="00C203A3"/>
    <w:rsid w:val="00C205D8"/>
    <w:rsid w:val="00C2065A"/>
    <w:rsid w:val="00C20CF1"/>
    <w:rsid w:val="00C20D05"/>
    <w:rsid w:val="00C211A5"/>
    <w:rsid w:val="00C21664"/>
    <w:rsid w:val="00C225C2"/>
    <w:rsid w:val="00C2283D"/>
    <w:rsid w:val="00C22918"/>
    <w:rsid w:val="00C22A5A"/>
    <w:rsid w:val="00C238DE"/>
    <w:rsid w:val="00C24BA4"/>
    <w:rsid w:val="00C2523C"/>
    <w:rsid w:val="00C253F3"/>
    <w:rsid w:val="00C255EC"/>
    <w:rsid w:val="00C25E0C"/>
    <w:rsid w:val="00C25F43"/>
    <w:rsid w:val="00C264DA"/>
    <w:rsid w:val="00C26654"/>
    <w:rsid w:val="00C269B9"/>
    <w:rsid w:val="00C26A1A"/>
    <w:rsid w:val="00C278EE"/>
    <w:rsid w:val="00C30407"/>
    <w:rsid w:val="00C30DB0"/>
    <w:rsid w:val="00C30DBA"/>
    <w:rsid w:val="00C316D2"/>
    <w:rsid w:val="00C3254C"/>
    <w:rsid w:val="00C334E7"/>
    <w:rsid w:val="00C3576C"/>
    <w:rsid w:val="00C36635"/>
    <w:rsid w:val="00C37124"/>
    <w:rsid w:val="00C374DD"/>
    <w:rsid w:val="00C400BE"/>
    <w:rsid w:val="00C405B8"/>
    <w:rsid w:val="00C4163C"/>
    <w:rsid w:val="00C416DC"/>
    <w:rsid w:val="00C4283F"/>
    <w:rsid w:val="00C42889"/>
    <w:rsid w:val="00C42CE1"/>
    <w:rsid w:val="00C42FF9"/>
    <w:rsid w:val="00C444E6"/>
    <w:rsid w:val="00C44653"/>
    <w:rsid w:val="00C4492E"/>
    <w:rsid w:val="00C45666"/>
    <w:rsid w:val="00C459CF"/>
    <w:rsid w:val="00C45D90"/>
    <w:rsid w:val="00C46912"/>
    <w:rsid w:val="00C4763E"/>
    <w:rsid w:val="00C4772B"/>
    <w:rsid w:val="00C47E40"/>
    <w:rsid w:val="00C50E46"/>
    <w:rsid w:val="00C5129E"/>
    <w:rsid w:val="00C51A6F"/>
    <w:rsid w:val="00C52747"/>
    <w:rsid w:val="00C527B9"/>
    <w:rsid w:val="00C52E43"/>
    <w:rsid w:val="00C530FC"/>
    <w:rsid w:val="00C5348D"/>
    <w:rsid w:val="00C53AFB"/>
    <w:rsid w:val="00C544D4"/>
    <w:rsid w:val="00C54519"/>
    <w:rsid w:val="00C54DDA"/>
    <w:rsid w:val="00C552EA"/>
    <w:rsid w:val="00C55362"/>
    <w:rsid w:val="00C5555F"/>
    <w:rsid w:val="00C561F1"/>
    <w:rsid w:val="00C5646B"/>
    <w:rsid w:val="00C566A7"/>
    <w:rsid w:val="00C56E1C"/>
    <w:rsid w:val="00C570A8"/>
    <w:rsid w:val="00C5754E"/>
    <w:rsid w:val="00C57AA2"/>
    <w:rsid w:val="00C57D71"/>
    <w:rsid w:val="00C60091"/>
    <w:rsid w:val="00C600E4"/>
    <w:rsid w:val="00C604B5"/>
    <w:rsid w:val="00C614D2"/>
    <w:rsid w:val="00C6153B"/>
    <w:rsid w:val="00C628A1"/>
    <w:rsid w:val="00C62F07"/>
    <w:rsid w:val="00C6306C"/>
    <w:rsid w:val="00C63468"/>
    <w:rsid w:val="00C63BB5"/>
    <w:rsid w:val="00C6442A"/>
    <w:rsid w:val="00C64468"/>
    <w:rsid w:val="00C64F44"/>
    <w:rsid w:val="00C65DBE"/>
    <w:rsid w:val="00C66412"/>
    <w:rsid w:val="00C666B3"/>
    <w:rsid w:val="00C66ADA"/>
    <w:rsid w:val="00C7095A"/>
    <w:rsid w:val="00C70BF1"/>
    <w:rsid w:val="00C715DD"/>
    <w:rsid w:val="00C71752"/>
    <w:rsid w:val="00C7176D"/>
    <w:rsid w:val="00C719A5"/>
    <w:rsid w:val="00C71AC3"/>
    <w:rsid w:val="00C71DA6"/>
    <w:rsid w:val="00C72F2A"/>
    <w:rsid w:val="00C733F0"/>
    <w:rsid w:val="00C73B29"/>
    <w:rsid w:val="00C74C09"/>
    <w:rsid w:val="00C75655"/>
    <w:rsid w:val="00C7637B"/>
    <w:rsid w:val="00C777CB"/>
    <w:rsid w:val="00C77966"/>
    <w:rsid w:val="00C77BFB"/>
    <w:rsid w:val="00C8041C"/>
    <w:rsid w:val="00C82077"/>
    <w:rsid w:val="00C820FF"/>
    <w:rsid w:val="00C82D67"/>
    <w:rsid w:val="00C83223"/>
    <w:rsid w:val="00C8365A"/>
    <w:rsid w:val="00C8370C"/>
    <w:rsid w:val="00C83787"/>
    <w:rsid w:val="00C84689"/>
    <w:rsid w:val="00C85CC5"/>
    <w:rsid w:val="00C86468"/>
    <w:rsid w:val="00C864F6"/>
    <w:rsid w:val="00C876AF"/>
    <w:rsid w:val="00C879B3"/>
    <w:rsid w:val="00C87AFA"/>
    <w:rsid w:val="00C87BA6"/>
    <w:rsid w:val="00C90139"/>
    <w:rsid w:val="00C90A69"/>
    <w:rsid w:val="00C916BB"/>
    <w:rsid w:val="00C91CA5"/>
    <w:rsid w:val="00C91F53"/>
    <w:rsid w:val="00C939D0"/>
    <w:rsid w:val="00C93C02"/>
    <w:rsid w:val="00C94027"/>
    <w:rsid w:val="00C942AE"/>
    <w:rsid w:val="00C944A5"/>
    <w:rsid w:val="00C94644"/>
    <w:rsid w:val="00C94D4E"/>
    <w:rsid w:val="00C95511"/>
    <w:rsid w:val="00C958E5"/>
    <w:rsid w:val="00C95A75"/>
    <w:rsid w:val="00C95D93"/>
    <w:rsid w:val="00C95F40"/>
    <w:rsid w:val="00C961F6"/>
    <w:rsid w:val="00C96387"/>
    <w:rsid w:val="00C96416"/>
    <w:rsid w:val="00C96450"/>
    <w:rsid w:val="00C973C5"/>
    <w:rsid w:val="00C97565"/>
    <w:rsid w:val="00C97861"/>
    <w:rsid w:val="00C97B88"/>
    <w:rsid w:val="00CA083A"/>
    <w:rsid w:val="00CA0DB7"/>
    <w:rsid w:val="00CA1597"/>
    <w:rsid w:val="00CA1BED"/>
    <w:rsid w:val="00CA25E3"/>
    <w:rsid w:val="00CA2F5E"/>
    <w:rsid w:val="00CA3016"/>
    <w:rsid w:val="00CA3F61"/>
    <w:rsid w:val="00CA41B9"/>
    <w:rsid w:val="00CA70FC"/>
    <w:rsid w:val="00CB0242"/>
    <w:rsid w:val="00CB0495"/>
    <w:rsid w:val="00CB15F1"/>
    <w:rsid w:val="00CB2591"/>
    <w:rsid w:val="00CB34E3"/>
    <w:rsid w:val="00CB3E98"/>
    <w:rsid w:val="00CB4A45"/>
    <w:rsid w:val="00CC0227"/>
    <w:rsid w:val="00CC0281"/>
    <w:rsid w:val="00CC1097"/>
    <w:rsid w:val="00CC137D"/>
    <w:rsid w:val="00CC1431"/>
    <w:rsid w:val="00CC22FB"/>
    <w:rsid w:val="00CC2679"/>
    <w:rsid w:val="00CC2801"/>
    <w:rsid w:val="00CC28DD"/>
    <w:rsid w:val="00CC2C37"/>
    <w:rsid w:val="00CC32A5"/>
    <w:rsid w:val="00CC3368"/>
    <w:rsid w:val="00CC3644"/>
    <w:rsid w:val="00CC3646"/>
    <w:rsid w:val="00CC50AA"/>
    <w:rsid w:val="00CC5AF3"/>
    <w:rsid w:val="00CC6C39"/>
    <w:rsid w:val="00CC6D9F"/>
    <w:rsid w:val="00CC7672"/>
    <w:rsid w:val="00CC772F"/>
    <w:rsid w:val="00CC7C48"/>
    <w:rsid w:val="00CD0752"/>
    <w:rsid w:val="00CD0888"/>
    <w:rsid w:val="00CD1B1E"/>
    <w:rsid w:val="00CD1CD6"/>
    <w:rsid w:val="00CD2643"/>
    <w:rsid w:val="00CD2A41"/>
    <w:rsid w:val="00CD2AE9"/>
    <w:rsid w:val="00CD377C"/>
    <w:rsid w:val="00CD3A32"/>
    <w:rsid w:val="00CD416C"/>
    <w:rsid w:val="00CD4864"/>
    <w:rsid w:val="00CD4F6B"/>
    <w:rsid w:val="00CD5442"/>
    <w:rsid w:val="00CD5498"/>
    <w:rsid w:val="00CD5601"/>
    <w:rsid w:val="00CD5A02"/>
    <w:rsid w:val="00CD5D4D"/>
    <w:rsid w:val="00CD6A60"/>
    <w:rsid w:val="00CD6B9D"/>
    <w:rsid w:val="00CD6E30"/>
    <w:rsid w:val="00CD7798"/>
    <w:rsid w:val="00CE0410"/>
    <w:rsid w:val="00CE13BE"/>
    <w:rsid w:val="00CE2207"/>
    <w:rsid w:val="00CE23EA"/>
    <w:rsid w:val="00CE253E"/>
    <w:rsid w:val="00CE2F10"/>
    <w:rsid w:val="00CE3078"/>
    <w:rsid w:val="00CE367F"/>
    <w:rsid w:val="00CE3DDB"/>
    <w:rsid w:val="00CE3F6E"/>
    <w:rsid w:val="00CE3FEF"/>
    <w:rsid w:val="00CE422A"/>
    <w:rsid w:val="00CE4722"/>
    <w:rsid w:val="00CE4C03"/>
    <w:rsid w:val="00CE514F"/>
    <w:rsid w:val="00CE5230"/>
    <w:rsid w:val="00CE5D33"/>
    <w:rsid w:val="00CE5DD3"/>
    <w:rsid w:val="00CE6149"/>
    <w:rsid w:val="00CE6C6D"/>
    <w:rsid w:val="00CE6CF0"/>
    <w:rsid w:val="00CE7358"/>
    <w:rsid w:val="00CE7648"/>
    <w:rsid w:val="00CF0120"/>
    <w:rsid w:val="00CF07A9"/>
    <w:rsid w:val="00CF092F"/>
    <w:rsid w:val="00CF0E67"/>
    <w:rsid w:val="00CF2006"/>
    <w:rsid w:val="00CF21C4"/>
    <w:rsid w:val="00CF2C80"/>
    <w:rsid w:val="00CF2C82"/>
    <w:rsid w:val="00CF2EFC"/>
    <w:rsid w:val="00CF320A"/>
    <w:rsid w:val="00CF3B42"/>
    <w:rsid w:val="00CF3FFB"/>
    <w:rsid w:val="00CF46DF"/>
    <w:rsid w:val="00CF4896"/>
    <w:rsid w:val="00CF4E6E"/>
    <w:rsid w:val="00CF6A1B"/>
    <w:rsid w:val="00CF73D5"/>
    <w:rsid w:val="00CF7940"/>
    <w:rsid w:val="00CF7E41"/>
    <w:rsid w:val="00D00D93"/>
    <w:rsid w:val="00D0117A"/>
    <w:rsid w:val="00D012B8"/>
    <w:rsid w:val="00D01F82"/>
    <w:rsid w:val="00D02499"/>
    <w:rsid w:val="00D02CD8"/>
    <w:rsid w:val="00D02F2C"/>
    <w:rsid w:val="00D03295"/>
    <w:rsid w:val="00D03297"/>
    <w:rsid w:val="00D03ACE"/>
    <w:rsid w:val="00D03EA7"/>
    <w:rsid w:val="00D04537"/>
    <w:rsid w:val="00D049B6"/>
    <w:rsid w:val="00D05136"/>
    <w:rsid w:val="00D05169"/>
    <w:rsid w:val="00D0545E"/>
    <w:rsid w:val="00D05D58"/>
    <w:rsid w:val="00D06174"/>
    <w:rsid w:val="00D063FA"/>
    <w:rsid w:val="00D07B19"/>
    <w:rsid w:val="00D10159"/>
    <w:rsid w:val="00D102E6"/>
    <w:rsid w:val="00D108B6"/>
    <w:rsid w:val="00D10963"/>
    <w:rsid w:val="00D11942"/>
    <w:rsid w:val="00D121FD"/>
    <w:rsid w:val="00D12318"/>
    <w:rsid w:val="00D12374"/>
    <w:rsid w:val="00D12760"/>
    <w:rsid w:val="00D12BF7"/>
    <w:rsid w:val="00D1383D"/>
    <w:rsid w:val="00D14549"/>
    <w:rsid w:val="00D14952"/>
    <w:rsid w:val="00D15661"/>
    <w:rsid w:val="00D15B1D"/>
    <w:rsid w:val="00D15F96"/>
    <w:rsid w:val="00D16D9D"/>
    <w:rsid w:val="00D17A81"/>
    <w:rsid w:val="00D2037A"/>
    <w:rsid w:val="00D209A1"/>
    <w:rsid w:val="00D20DD7"/>
    <w:rsid w:val="00D21537"/>
    <w:rsid w:val="00D2154A"/>
    <w:rsid w:val="00D219C3"/>
    <w:rsid w:val="00D21BB2"/>
    <w:rsid w:val="00D21D7E"/>
    <w:rsid w:val="00D21FDC"/>
    <w:rsid w:val="00D226CF"/>
    <w:rsid w:val="00D22741"/>
    <w:rsid w:val="00D22A75"/>
    <w:rsid w:val="00D22BAF"/>
    <w:rsid w:val="00D22FA2"/>
    <w:rsid w:val="00D2366A"/>
    <w:rsid w:val="00D236B4"/>
    <w:rsid w:val="00D23714"/>
    <w:rsid w:val="00D23A2F"/>
    <w:rsid w:val="00D23D97"/>
    <w:rsid w:val="00D24F8A"/>
    <w:rsid w:val="00D250C7"/>
    <w:rsid w:val="00D2536C"/>
    <w:rsid w:val="00D25432"/>
    <w:rsid w:val="00D25FB3"/>
    <w:rsid w:val="00D260C4"/>
    <w:rsid w:val="00D26BB8"/>
    <w:rsid w:val="00D27494"/>
    <w:rsid w:val="00D27622"/>
    <w:rsid w:val="00D27854"/>
    <w:rsid w:val="00D3081D"/>
    <w:rsid w:val="00D3102E"/>
    <w:rsid w:val="00D3173C"/>
    <w:rsid w:val="00D31890"/>
    <w:rsid w:val="00D323CD"/>
    <w:rsid w:val="00D32CBB"/>
    <w:rsid w:val="00D33255"/>
    <w:rsid w:val="00D33544"/>
    <w:rsid w:val="00D338EC"/>
    <w:rsid w:val="00D33971"/>
    <w:rsid w:val="00D33C40"/>
    <w:rsid w:val="00D35F0C"/>
    <w:rsid w:val="00D36885"/>
    <w:rsid w:val="00D371B5"/>
    <w:rsid w:val="00D37E82"/>
    <w:rsid w:val="00D40082"/>
    <w:rsid w:val="00D402BA"/>
    <w:rsid w:val="00D40308"/>
    <w:rsid w:val="00D40974"/>
    <w:rsid w:val="00D40A25"/>
    <w:rsid w:val="00D40FC7"/>
    <w:rsid w:val="00D416A2"/>
    <w:rsid w:val="00D417E8"/>
    <w:rsid w:val="00D41E16"/>
    <w:rsid w:val="00D41E90"/>
    <w:rsid w:val="00D4244B"/>
    <w:rsid w:val="00D428ED"/>
    <w:rsid w:val="00D429B8"/>
    <w:rsid w:val="00D42DFE"/>
    <w:rsid w:val="00D42EBF"/>
    <w:rsid w:val="00D4305E"/>
    <w:rsid w:val="00D431E3"/>
    <w:rsid w:val="00D433D3"/>
    <w:rsid w:val="00D43465"/>
    <w:rsid w:val="00D440D7"/>
    <w:rsid w:val="00D44C76"/>
    <w:rsid w:val="00D45AB0"/>
    <w:rsid w:val="00D45B78"/>
    <w:rsid w:val="00D462F2"/>
    <w:rsid w:val="00D469F9"/>
    <w:rsid w:val="00D46BA1"/>
    <w:rsid w:val="00D479D2"/>
    <w:rsid w:val="00D47D7A"/>
    <w:rsid w:val="00D50B7D"/>
    <w:rsid w:val="00D50D0B"/>
    <w:rsid w:val="00D5144B"/>
    <w:rsid w:val="00D51E1D"/>
    <w:rsid w:val="00D51F59"/>
    <w:rsid w:val="00D51F91"/>
    <w:rsid w:val="00D52BA0"/>
    <w:rsid w:val="00D52EA3"/>
    <w:rsid w:val="00D53DA0"/>
    <w:rsid w:val="00D540D8"/>
    <w:rsid w:val="00D54394"/>
    <w:rsid w:val="00D546BC"/>
    <w:rsid w:val="00D55B15"/>
    <w:rsid w:val="00D55C42"/>
    <w:rsid w:val="00D56072"/>
    <w:rsid w:val="00D561B8"/>
    <w:rsid w:val="00D562AF"/>
    <w:rsid w:val="00D579BA"/>
    <w:rsid w:val="00D57BA2"/>
    <w:rsid w:val="00D60350"/>
    <w:rsid w:val="00D60CB4"/>
    <w:rsid w:val="00D6162E"/>
    <w:rsid w:val="00D620F1"/>
    <w:rsid w:val="00D62DEB"/>
    <w:rsid w:val="00D631C0"/>
    <w:rsid w:val="00D635FA"/>
    <w:rsid w:val="00D63850"/>
    <w:rsid w:val="00D65061"/>
    <w:rsid w:val="00D65151"/>
    <w:rsid w:val="00D652B7"/>
    <w:rsid w:val="00D6531B"/>
    <w:rsid w:val="00D65B93"/>
    <w:rsid w:val="00D67226"/>
    <w:rsid w:val="00D67621"/>
    <w:rsid w:val="00D679ED"/>
    <w:rsid w:val="00D700FD"/>
    <w:rsid w:val="00D701C3"/>
    <w:rsid w:val="00D713EE"/>
    <w:rsid w:val="00D71F42"/>
    <w:rsid w:val="00D72610"/>
    <w:rsid w:val="00D728DA"/>
    <w:rsid w:val="00D72908"/>
    <w:rsid w:val="00D72DC5"/>
    <w:rsid w:val="00D73F9E"/>
    <w:rsid w:val="00D741F1"/>
    <w:rsid w:val="00D745F1"/>
    <w:rsid w:val="00D758A8"/>
    <w:rsid w:val="00D770EF"/>
    <w:rsid w:val="00D77F97"/>
    <w:rsid w:val="00D8014B"/>
    <w:rsid w:val="00D803C1"/>
    <w:rsid w:val="00D80951"/>
    <w:rsid w:val="00D80B2D"/>
    <w:rsid w:val="00D81069"/>
    <w:rsid w:val="00D81DF7"/>
    <w:rsid w:val="00D82290"/>
    <w:rsid w:val="00D82306"/>
    <w:rsid w:val="00D82542"/>
    <w:rsid w:val="00D83F23"/>
    <w:rsid w:val="00D841D5"/>
    <w:rsid w:val="00D842DA"/>
    <w:rsid w:val="00D847AF"/>
    <w:rsid w:val="00D854A6"/>
    <w:rsid w:val="00D8563C"/>
    <w:rsid w:val="00D86F5A"/>
    <w:rsid w:val="00D904DB"/>
    <w:rsid w:val="00D90713"/>
    <w:rsid w:val="00D9082B"/>
    <w:rsid w:val="00D90F3F"/>
    <w:rsid w:val="00D912D9"/>
    <w:rsid w:val="00D937F3"/>
    <w:rsid w:val="00D942C7"/>
    <w:rsid w:val="00D945BD"/>
    <w:rsid w:val="00D950C4"/>
    <w:rsid w:val="00D96339"/>
    <w:rsid w:val="00D96551"/>
    <w:rsid w:val="00D96585"/>
    <w:rsid w:val="00D96773"/>
    <w:rsid w:val="00D9678C"/>
    <w:rsid w:val="00DA0305"/>
    <w:rsid w:val="00DA1207"/>
    <w:rsid w:val="00DA26F1"/>
    <w:rsid w:val="00DA2945"/>
    <w:rsid w:val="00DA2A02"/>
    <w:rsid w:val="00DA2F85"/>
    <w:rsid w:val="00DA350B"/>
    <w:rsid w:val="00DA3BB0"/>
    <w:rsid w:val="00DA3C72"/>
    <w:rsid w:val="00DA3FB3"/>
    <w:rsid w:val="00DA5748"/>
    <w:rsid w:val="00DA57FE"/>
    <w:rsid w:val="00DA5DCB"/>
    <w:rsid w:val="00DA5E34"/>
    <w:rsid w:val="00DA670E"/>
    <w:rsid w:val="00DA70F5"/>
    <w:rsid w:val="00DA71DB"/>
    <w:rsid w:val="00DA7A92"/>
    <w:rsid w:val="00DA7D33"/>
    <w:rsid w:val="00DB08CF"/>
    <w:rsid w:val="00DB2688"/>
    <w:rsid w:val="00DB2A2E"/>
    <w:rsid w:val="00DB35DB"/>
    <w:rsid w:val="00DB5348"/>
    <w:rsid w:val="00DB5CEC"/>
    <w:rsid w:val="00DB60FE"/>
    <w:rsid w:val="00DB6F12"/>
    <w:rsid w:val="00DB71AA"/>
    <w:rsid w:val="00DB7473"/>
    <w:rsid w:val="00DB79EB"/>
    <w:rsid w:val="00DB7AF7"/>
    <w:rsid w:val="00DB7BEF"/>
    <w:rsid w:val="00DC0388"/>
    <w:rsid w:val="00DC04CC"/>
    <w:rsid w:val="00DC0F40"/>
    <w:rsid w:val="00DC10D3"/>
    <w:rsid w:val="00DC3482"/>
    <w:rsid w:val="00DC34D2"/>
    <w:rsid w:val="00DC3842"/>
    <w:rsid w:val="00DC3A21"/>
    <w:rsid w:val="00DC4220"/>
    <w:rsid w:val="00DC479A"/>
    <w:rsid w:val="00DC490B"/>
    <w:rsid w:val="00DC4F0A"/>
    <w:rsid w:val="00DC532D"/>
    <w:rsid w:val="00DC5724"/>
    <w:rsid w:val="00DC65D8"/>
    <w:rsid w:val="00DC7022"/>
    <w:rsid w:val="00DD02B5"/>
    <w:rsid w:val="00DD0380"/>
    <w:rsid w:val="00DD0666"/>
    <w:rsid w:val="00DD0804"/>
    <w:rsid w:val="00DD1673"/>
    <w:rsid w:val="00DD1969"/>
    <w:rsid w:val="00DD21DA"/>
    <w:rsid w:val="00DD3152"/>
    <w:rsid w:val="00DD338E"/>
    <w:rsid w:val="00DD3796"/>
    <w:rsid w:val="00DD38AC"/>
    <w:rsid w:val="00DD3D55"/>
    <w:rsid w:val="00DD428B"/>
    <w:rsid w:val="00DD46AA"/>
    <w:rsid w:val="00DD49AD"/>
    <w:rsid w:val="00DD5267"/>
    <w:rsid w:val="00DD6FB7"/>
    <w:rsid w:val="00DD7904"/>
    <w:rsid w:val="00DD7F67"/>
    <w:rsid w:val="00DE01D1"/>
    <w:rsid w:val="00DE040F"/>
    <w:rsid w:val="00DE0737"/>
    <w:rsid w:val="00DE087E"/>
    <w:rsid w:val="00DE0BEF"/>
    <w:rsid w:val="00DE1485"/>
    <w:rsid w:val="00DE1B8C"/>
    <w:rsid w:val="00DE2A83"/>
    <w:rsid w:val="00DE2C01"/>
    <w:rsid w:val="00DE3AD3"/>
    <w:rsid w:val="00DE3FC2"/>
    <w:rsid w:val="00DE4385"/>
    <w:rsid w:val="00DE4803"/>
    <w:rsid w:val="00DE488E"/>
    <w:rsid w:val="00DE4C1C"/>
    <w:rsid w:val="00DE55C2"/>
    <w:rsid w:val="00DE65BF"/>
    <w:rsid w:val="00DE72EC"/>
    <w:rsid w:val="00DE7615"/>
    <w:rsid w:val="00DE7C16"/>
    <w:rsid w:val="00DE7DCE"/>
    <w:rsid w:val="00DF0A54"/>
    <w:rsid w:val="00DF11D0"/>
    <w:rsid w:val="00DF1330"/>
    <w:rsid w:val="00DF17C4"/>
    <w:rsid w:val="00DF19DC"/>
    <w:rsid w:val="00DF22A4"/>
    <w:rsid w:val="00DF2CBA"/>
    <w:rsid w:val="00DF2E25"/>
    <w:rsid w:val="00DF4291"/>
    <w:rsid w:val="00DF4620"/>
    <w:rsid w:val="00DF50FC"/>
    <w:rsid w:val="00DF5284"/>
    <w:rsid w:val="00DF56DB"/>
    <w:rsid w:val="00DF5908"/>
    <w:rsid w:val="00DF5942"/>
    <w:rsid w:val="00DF72CB"/>
    <w:rsid w:val="00DF7F30"/>
    <w:rsid w:val="00E0010F"/>
    <w:rsid w:val="00E0016A"/>
    <w:rsid w:val="00E011BF"/>
    <w:rsid w:val="00E014D2"/>
    <w:rsid w:val="00E01AFB"/>
    <w:rsid w:val="00E03150"/>
    <w:rsid w:val="00E03613"/>
    <w:rsid w:val="00E042F6"/>
    <w:rsid w:val="00E044AD"/>
    <w:rsid w:val="00E05CF4"/>
    <w:rsid w:val="00E05D2D"/>
    <w:rsid w:val="00E064DA"/>
    <w:rsid w:val="00E07875"/>
    <w:rsid w:val="00E101DF"/>
    <w:rsid w:val="00E10755"/>
    <w:rsid w:val="00E10D97"/>
    <w:rsid w:val="00E113A2"/>
    <w:rsid w:val="00E11434"/>
    <w:rsid w:val="00E114E9"/>
    <w:rsid w:val="00E1215F"/>
    <w:rsid w:val="00E12412"/>
    <w:rsid w:val="00E12A76"/>
    <w:rsid w:val="00E12D2B"/>
    <w:rsid w:val="00E13763"/>
    <w:rsid w:val="00E13D8C"/>
    <w:rsid w:val="00E13E62"/>
    <w:rsid w:val="00E14A77"/>
    <w:rsid w:val="00E14BA6"/>
    <w:rsid w:val="00E158FF"/>
    <w:rsid w:val="00E15CDB"/>
    <w:rsid w:val="00E16001"/>
    <w:rsid w:val="00E1654A"/>
    <w:rsid w:val="00E1720C"/>
    <w:rsid w:val="00E206F7"/>
    <w:rsid w:val="00E20738"/>
    <w:rsid w:val="00E21A2C"/>
    <w:rsid w:val="00E21C5C"/>
    <w:rsid w:val="00E21CF0"/>
    <w:rsid w:val="00E21E15"/>
    <w:rsid w:val="00E224FB"/>
    <w:rsid w:val="00E22A16"/>
    <w:rsid w:val="00E22B3E"/>
    <w:rsid w:val="00E22B93"/>
    <w:rsid w:val="00E22BBA"/>
    <w:rsid w:val="00E23072"/>
    <w:rsid w:val="00E23AAB"/>
    <w:rsid w:val="00E23B27"/>
    <w:rsid w:val="00E2401B"/>
    <w:rsid w:val="00E241D4"/>
    <w:rsid w:val="00E24EF8"/>
    <w:rsid w:val="00E257B0"/>
    <w:rsid w:val="00E25D45"/>
    <w:rsid w:val="00E26640"/>
    <w:rsid w:val="00E26D41"/>
    <w:rsid w:val="00E2711A"/>
    <w:rsid w:val="00E30150"/>
    <w:rsid w:val="00E30163"/>
    <w:rsid w:val="00E30C7E"/>
    <w:rsid w:val="00E3250C"/>
    <w:rsid w:val="00E33C47"/>
    <w:rsid w:val="00E33D59"/>
    <w:rsid w:val="00E34651"/>
    <w:rsid w:val="00E348A3"/>
    <w:rsid w:val="00E34D1F"/>
    <w:rsid w:val="00E34D2D"/>
    <w:rsid w:val="00E351B9"/>
    <w:rsid w:val="00E35CA0"/>
    <w:rsid w:val="00E35CA4"/>
    <w:rsid w:val="00E362A3"/>
    <w:rsid w:val="00E374E9"/>
    <w:rsid w:val="00E419A7"/>
    <w:rsid w:val="00E42E1E"/>
    <w:rsid w:val="00E43339"/>
    <w:rsid w:val="00E4440A"/>
    <w:rsid w:val="00E4472D"/>
    <w:rsid w:val="00E4487E"/>
    <w:rsid w:val="00E44D49"/>
    <w:rsid w:val="00E44DCA"/>
    <w:rsid w:val="00E44E0C"/>
    <w:rsid w:val="00E45743"/>
    <w:rsid w:val="00E466AF"/>
    <w:rsid w:val="00E46CEC"/>
    <w:rsid w:val="00E4707E"/>
    <w:rsid w:val="00E47328"/>
    <w:rsid w:val="00E476AF"/>
    <w:rsid w:val="00E47DD9"/>
    <w:rsid w:val="00E508E3"/>
    <w:rsid w:val="00E51BCD"/>
    <w:rsid w:val="00E531B0"/>
    <w:rsid w:val="00E53954"/>
    <w:rsid w:val="00E54144"/>
    <w:rsid w:val="00E541B5"/>
    <w:rsid w:val="00E55599"/>
    <w:rsid w:val="00E558DF"/>
    <w:rsid w:val="00E5592F"/>
    <w:rsid w:val="00E5599C"/>
    <w:rsid w:val="00E55DDD"/>
    <w:rsid w:val="00E560B9"/>
    <w:rsid w:val="00E57370"/>
    <w:rsid w:val="00E5769D"/>
    <w:rsid w:val="00E61016"/>
    <w:rsid w:val="00E625EA"/>
    <w:rsid w:val="00E62789"/>
    <w:rsid w:val="00E633F6"/>
    <w:rsid w:val="00E635AC"/>
    <w:rsid w:val="00E63697"/>
    <w:rsid w:val="00E638F4"/>
    <w:rsid w:val="00E639AC"/>
    <w:rsid w:val="00E63A84"/>
    <w:rsid w:val="00E63BF0"/>
    <w:rsid w:val="00E64A44"/>
    <w:rsid w:val="00E652EC"/>
    <w:rsid w:val="00E654F7"/>
    <w:rsid w:val="00E65C2E"/>
    <w:rsid w:val="00E66165"/>
    <w:rsid w:val="00E66234"/>
    <w:rsid w:val="00E664FC"/>
    <w:rsid w:val="00E66588"/>
    <w:rsid w:val="00E67EEA"/>
    <w:rsid w:val="00E701A2"/>
    <w:rsid w:val="00E71032"/>
    <w:rsid w:val="00E71F0B"/>
    <w:rsid w:val="00E722BD"/>
    <w:rsid w:val="00E72552"/>
    <w:rsid w:val="00E7348F"/>
    <w:rsid w:val="00E73C9E"/>
    <w:rsid w:val="00E73CA8"/>
    <w:rsid w:val="00E73D82"/>
    <w:rsid w:val="00E73E86"/>
    <w:rsid w:val="00E75369"/>
    <w:rsid w:val="00E75388"/>
    <w:rsid w:val="00E75467"/>
    <w:rsid w:val="00E75E49"/>
    <w:rsid w:val="00E764DA"/>
    <w:rsid w:val="00E765CF"/>
    <w:rsid w:val="00E76B73"/>
    <w:rsid w:val="00E7767F"/>
    <w:rsid w:val="00E80740"/>
    <w:rsid w:val="00E808BE"/>
    <w:rsid w:val="00E81000"/>
    <w:rsid w:val="00E81372"/>
    <w:rsid w:val="00E815EC"/>
    <w:rsid w:val="00E820E8"/>
    <w:rsid w:val="00E8224E"/>
    <w:rsid w:val="00E83292"/>
    <w:rsid w:val="00E84776"/>
    <w:rsid w:val="00E85BBD"/>
    <w:rsid w:val="00E86074"/>
    <w:rsid w:val="00E8693A"/>
    <w:rsid w:val="00E908F7"/>
    <w:rsid w:val="00E92258"/>
    <w:rsid w:val="00E925BD"/>
    <w:rsid w:val="00E92C92"/>
    <w:rsid w:val="00E94058"/>
    <w:rsid w:val="00E944A5"/>
    <w:rsid w:val="00E9459F"/>
    <w:rsid w:val="00E95400"/>
    <w:rsid w:val="00E959A2"/>
    <w:rsid w:val="00E967F6"/>
    <w:rsid w:val="00E9695C"/>
    <w:rsid w:val="00E969FB"/>
    <w:rsid w:val="00E96EF2"/>
    <w:rsid w:val="00E96F7C"/>
    <w:rsid w:val="00E97432"/>
    <w:rsid w:val="00E97E27"/>
    <w:rsid w:val="00EA0D7D"/>
    <w:rsid w:val="00EA1054"/>
    <w:rsid w:val="00EA12AC"/>
    <w:rsid w:val="00EA192C"/>
    <w:rsid w:val="00EA1A57"/>
    <w:rsid w:val="00EA1E2C"/>
    <w:rsid w:val="00EA237D"/>
    <w:rsid w:val="00EA2BA7"/>
    <w:rsid w:val="00EA2D31"/>
    <w:rsid w:val="00EA2D8A"/>
    <w:rsid w:val="00EA2E41"/>
    <w:rsid w:val="00EA331D"/>
    <w:rsid w:val="00EA3CC9"/>
    <w:rsid w:val="00EA43E3"/>
    <w:rsid w:val="00EA46FC"/>
    <w:rsid w:val="00EA4B3C"/>
    <w:rsid w:val="00EA4EFA"/>
    <w:rsid w:val="00EA6624"/>
    <w:rsid w:val="00EA6D4E"/>
    <w:rsid w:val="00EA72BE"/>
    <w:rsid w:val="00EA768C"/>
    <w:rsid w:val="00EA7BA9"/>
    <w:rsid w:val="00EA7CB2"/>
    <w:rsid w:val="00EA7F84"/>
    <w:rsid w:val="00EB011C"/>
    <w:rsid w:val="00EB037C"/>
    <w:rsid w:val="00EB0E20"/>
    <w:rsid w:val="00EB0E68"/>
    <w:rsid w:val="00EB11CB"/>
    <w:rsid w:val="00EB134F"/>
    <w:rsid w:val="00EB1472"/>
    <w:rsid w:val="00EB1A66"/>
    <w:rsid w:val="00EB1D29"/>
    <w:rsid w:val="00EB2117"/>
    <w:rsid w:val="00EB3853"/>
    <w:rsid w:val="00EB3AEB"/>
    <w:rsid w:val="00EB471F"/>
    <w:rsid w:val="00EB4A67"/>
    <w:rsid w:val="00EB4AEB"/>
    <w:rsid w:val="00EB4BE7"/>
    <w:rsid w:val="00EB4D85"/>
    <w:rsid w:val="00EB5660"/>
    <w:rsid w:val="00EB5682"/>
    <w:rsid w:val="00EB56F3"/>
    <w:rsid w:val="00EB583E"/>
    <w:rsid w:val="00EB5B19"/>
    <w:rsid w:val="00EB64DB"/>
    <w:rsid w:val="00EB656C"/>
    <w:rsid w:val="00EB7C29"/>
    <w:rsid w:val="00EB7FD9"/>
    <w:rsid w:val="00EC0099"/>
    <w:rsid w:val="00EC052C"/>
    <w:rsid w:val="00EC1150"/>
    <w:rsid w:val="00EC11DC"/>
    <w:rsid w:val="00EC13F1"/>
    <w:rsid w:val="00EC164E"/>
    <w:rsid w:val="00EC1B66"/>
    <w:rsid w:val="00EC260F"/>
    <w:rsid w:val="00EC40F1"/>
    <w:rsid w:val="00EC470D"/>
    <w:rsid w:val="00EC5726"/>
    <w:rsid w:val="00EC5861"/>
    <w:rsid w:val="00EC6C29"/>
    <w:rsid w:val="00EC6F91"/>
    <w:rsid w:val="00EC75DC"/>
    <w:rsid w:val="00EC79AB"/>
    <w:rsid w:val="00EC7A62"/>
    <w:rsid w:val="00ED08F7"/>
    <w:rsid w:val="00ED0F32"/>
    <w:rsid w:val="00ED19D6"/>
    <w:rsid w:val="00ED1E2D"/>
    <w:rsid w:val="00ED2157"/>
    <w:rsid w:val="00ED215D"/>
    <w:rsid w:val="00ED341D"/>
    <w:rsid w:val="00ED37D3"/>
    <w:rsid w:val="00ED3B4C"/>
    <w:rsid w:val="00ED430A"/>
    <w:rsid w:val="00ED4464"/>
    <w:rsid w:val="00ED4BBA"/>
    <w:rsid w:val="00ED59AE"/>
    <w:rsid w:val="00ED6B4D"/>
    <w:rsid w:val="00ED7777"/>
    <w:rsid w:val="00EE07E4"/>
    <w:rsid w:val="00EE0D68"/>
    <w:rsid w:val="00EE1771"/>
    <w:rsid w:val="00EE2E03"/>
    <w:rsid w:val="00EE34BB"/>
    <w:rsid w:val="00EE3D34"/>
    <w:rsid w:val="00EE44D4"/>
    <w:rsid w:val="00EE4C88"/>
    <w:rsid w:val="00EE544B"/>
    <w:rsid w:val="00EE6006"/>
    <w:rsid w:val="00EE76C3"/>
    <w:rsid w:val="00EE7964"/>
    <w:rsid w:val="00EE7BAA"/>
    <w:rsid w:val="00EE7F5B"/>
    <w:rsid w:val="00EF0744"/>
    <w:rsid w:val="00EF0AAD"/>
    <w:rsid w:val="00EF1AB3"/>
    <w:rsid w:val="00EF254E"/>
    <w:rsid w:val="00EF2A2A"/>
    <w:rsid w:val="00EF2D77"/>
    <w:rsid w:val="00EF31F7"/>
    <w:rsid w:val="00EF351B"/>
    <w:rsid w:val="00EF38BE"/>
    <w:rsid w:val="00EF39DD"/>
    <w:rsid w:val="00EF3AFE"/>
    <w:rsid w:val="00EF5606"/>
    <w:rsid w:val="00EF58F8"/>
    <w:rsid w:val="00F0031C"/>
    <w:rsid w:val="00F008A3"/>
    <w:rsid w:val="00F00AE3"/>
    <w:rsid w:val="00F00E4B"/>
    <w:rsid w:val="00F0152F"/>
    <w:rsid w:val="00F01567"/>
    <w:rsid w:val="00F015E8"/>
    <w:rsid w:val="00F01861"/>
    <w:rsid w:val="00F01A94"/>
    <w:rsid w:val="00F024AC"/>
    <w:rsid w:val="00F04E75"/>
    <w:rsid w:val="00F05BBA"/>
    <w:rsid w:val="00F06819"/>
    <w:rsid w:val="00F06B93"/>
    <w:rsid w:val="00F07D6B"/>
    <w:rsid w:val="00F07E0A"/>
    <w:rsid w:val="00F07E54"/>
    <w:rsid w:val="00F110DE"/>
    <w:rsid w:val="00F1120A"/>
    <w:rsid w:val="00F112A2"/>
    <w:rsid w:val="00F11347"/>
    <w:rsid w:val="00F115A1"/>
    <w:rsid w:val="00F11668"/>
    <w:rsid w:val="00F11DE7"/>
    <w:rsid w:val="00F120DA"/>
    <w:rsid w:val="00F12DB2"/>
    <w:rsid w:val="00F13769"/>
    <w:rsid w:val="00F1399F"/>
    <w:rsid w:val="00F144BD"/>
    <w:rsid w:val="00F14896"/>
    <w:rsid w:val="00F14A8A"/>
    <w:rsid w:val="00F155CC"/>
    <w:rsid w:val="00F15A1C"/>
    <w:rsid w:val="00F16036"/>
    <w:rsid w:val="00F16EFC"/>
    <w:rsid w:val="00F17497"/>
    <w:rsid w:val="00F20107"/>
    <w:rsid w:val="00F2156F"/>
    <w:rsid w:val="00F21C5C"/>
    <w:rsid w:val="00F21E26"/>
    <w:rsid w:val="00F21FFB"/>
    <w:rsid w:val="00F2376F"/>
    <w:rsid w:val="00F23F99"/>
    <w:rsid w:val="00F24C3B"/>
    <w:rsid w:val="00F24E00"/>
    <w:rsid w:val="00F2518B"/>
    <w:rsid w:val="00F25765"/>
    <w:rsid w:val="00F26490"/>
    <w:rsid w:val="00F269ED"/>
    <w:rsid w:val="00F30639"/>
    <w:rsid w:val="00F30CB7"/>
    <w:rsid w:val="00F30D52"/>
    <w:rsid w:val="00F3120B"/>
    <w:rsid w:val="00F3171C"/>
    <w:rsid w:val="00F31906"/>
    <w:rsid w:val="00F31BE8"/>
    <w:rsid w:val="00F32151"/>
    <w:rsid w:val="00F3224F"/>
    <w:rsid w:val="00F324F6"/>
    <w:rsid w:val="00F325A7"/>
    <w:rsid w:val="00F32D54"/>
    <w:rsid w:val="00F333CB"/>
    <w:rsid w:val="00F340CC"/>
    <w:rsid w:val="00F34CDA"/>
    <w:rsid w:val="00F34D98"/>
    <w:rsid w:val="00F34E43"/>
    <w:rsid w:val="00F353D6"/>
    <w:rsid w:val="00F35701"/>
    <w:rsid w:val="00F36473"/>
    <w:rsid w:val="00F36BBD"/>
    <w:rsid w:val="00F379FD"/>
    <w:rsid w:val="00F37D2F"/>
    <w:rsid w:val="00F37D63"/>
    <w:rsid w:val="00F40A7B"/>
    <w:rsid w:val="00F40D3B"/>
    <w:rsid w:val="00F40DC4"/>
    <w:rsid w:val="00F41024"/>
    <w:rsid w:val="00F4120C"/>
    <w:rsid w:val="00F4198D"/>
    <w:rsid w:val="00F42141"/>
    <w:rsid w:val="00F42AB2"/>
    <w:rsid w:val="00F431FC"/>
    <w:rsid w:val="00F4326B"/>
    <w:rsid w:val="00F43446"/>
    <w:rsid w:val="00F448D8"/>
    <w:rsid w:val="00F448E1"/>
    <w:rsid w:val="00F44D73"/>
    <w:rsid w:val="00F45591"/>
    <w:rsid w:val="00F45B0F"/>
    <w:rsid w:val="00F462D6"/>
    <w:rsid w:val="00F4643D"/>
    <w:rsid w:val="00F46668"/>
    <w:rsid w:val="00F4722A"/>
    <w:rsid w:val="00F47368"/>
    <w:rsid w:val="00F476E7"/>
    <w:rsid w:val="00F47CD0"/>
    <w:rsid w:val="00F47E5A"/>
    <w:rsid w:val="00F508C4"/>
    <w:rsid w:val="00F509AD"/>
    <w:rsid w:val="00F509EA"/>
    <w:rsid w:val="00F51143"/>
    <w:rsid w:val="00F528F3"/>
    <w:rsid w:val="00F52D3E"/>
    <w:rsid w:val="00F53115"/>
    <w:rsid w:val="00F536D1"/>
    <w:rsid w:val="00F538DD"/>
    <w:rsid w:val="00F54079"/>
    <w:rsid w:val="00F54134"/>
    <w:rsid w:val="00F542BC"/>
    <w:rsid w:val="00F54773"/>
    <w:rsid w:val="00F54848"/>
    <w:rsid w:val="00F54DC1"/>
    <w:rsid w:val="00F55278"/>
    <w:rsid w:val="00F55F4A"/>
    <w:rsid w:val="00F5616F"/>
    <w:rsid w:val="00F56221"/>
    <w:rsid w:val="00F57078"/>
    <w:rsid w:val="00F57EC5"/>
    <w:rsid w:val="00F607E2"/>
    <w:rsid w:val="00F622F0"/>
    <w:rsid w:val="00F6280E"/>
    <w:rsid w:val="00F62B97"/>
    <w:rsid w:val="00F63107"/>
    <w:rsid w:val="00F64C22"/>
    <w:rsid w:val="00F64D11"/>
    <w:rsid w:val="00F64DFE"/>
    <w:rsid w:val="00F6563F"/>
    <w:rsid w:val="00F657FA"/>
    <w:rsid w:val="00F66277"/>
    <w:rsid w:val="00F6790D"/>
    <w:rsid w:val="00F67A4E"/>
    <w:rsid w:val="00F67CBD"/>
    <w:rsid w:val="00F702DF"/>
    <w:rsid w:val="00F702E2"/>
    <w:rsid w:val="00F70FA1"/>
    <w:rsid w:val="00F714CA"/>
    <w:rsid w:val="00F7210D"/>
    <w:rsid w:val="00F7221B"/>
    <w:rsid w:val="00F722ED"/>
    <w:rsid w:val="00F72D1B"/>
    <w:rsid w:val="00F7313E"/>
    <w:rsid w:val="00F7350D"/>
    <w:rsid w:val="00F73BDC"/>
    <w:rsid w:val="00F740D9"/>
    <w:rsid w:val="00F741A3"/>
    <w:rsid w:val="00F74476"/>
    <w:rsid w:val="00F748C1"/>
    <w:rsid w:val="00F75129"/>
    <w:rsid w:val="00F75472"/>
    <w:rsid w:val="00F7553E"/>
    <w:rsid w:val="00F7576A"/>
    <w:rsid w:val="00F75EE0"/>
    <w:rsid w:val="00F761B0"/>
    <w:rsid w:val="00F764B7"/>
    <w:rsid w:val="00F76AE5"/>
    <w:rsid w:val="00F773F2"/>
    <w:rsid w:val="00F7787C"/>
    <w:rsid w:val="00F77968"/>
    <w:rsid w:val="00F77A21"/>
    <w:rsid w:val="00F77AB4"/>
    <w:rsid w:val="00F80DC4"/>
    <w:rsid w:val="00F81945"/>
    <w:rsid w:val="00F82149"/>
    <w:rsid w:val="00F8255F"/>
    <w:rsid w:val="00F8269F"/>
    <w:rsid w:val="00F82916"/>
    <w:rsid w:val="00F83050"/>
    <w:rsid w:val="00F839D9"/>
    <w:rsid w:val="00F841E4"/>
    <w:rsid w:val="00F8425E"/>
    <w:rsid w:val="00F84A6C"/>
    <w:rsid w:val="00F8546B"/>
    <w:rsid w:val="00F85731"/>
    <w:rsid w:val="00F85E4A"/>
    <w:rsid w:val="00F85F85"/>
    <w:rsid w:val="00F86955"/>
    <w:rsid w:val="00F86B26"/>
    <w:rsid w:val="00F86B29"/>
    <w:rsid w:val="00F870D6"/>
    <w:rsid w:val="00F87C2E"/>
    <w:rsid w:val="00F87FFC"/>
    <w:rsid w:val="00F901D3"/>
    <w:rsid w:val="00F904A5"/>
    <w:rsid w:val="00F90746"/>
    <w:rsid w:val="00F90906"/>
    <w:rsid w:val="00F918AA"/>
    <w:rsid w:val="00F91E8D"/>
    <w:rsid w:val="00F921F8"/>
    <w:rsid w:val="00F92298"/>
    <w:rsid w:val="00F924D5"/>
    <w:rsid w:val="00F926FF"/>
    <w:rsid w:val="00F92E03"/>
    <w:rsid w:val="00F93567"/>
    <w:rsid w:val="00F93633"/>
    <w:rsid w:val="00F94794"/>
    <w:rsid w:val="00F94D57"/>
    <w:rsid w:val="00F94E1F"/>
    <w:rsid w:val="00F950D5"/>
    <w:rsid w:val="00F960BD"/>
    <w:rsid w:val="00F967E3"/>
    <w:rsid w:val="00F96AFE"/>
    <w:rsid w:val="00F976D2"/>
    <w:rsid w:val="00F97854"/>
    <w:rsid w:val="00FA0419"/>
    <w:rsid w:val="00FA073C"/>
    <w:rsid w:val="00FA0A5C"/>
    <w:rsid w:val="00FA1A64"/>
    <w:rsid w:val="00FA2395"/>
    <w:rsid w:val="00FA4573"/>
    <w:rsid w:val="00FA50B6"/>
    <w:rsid w:val="00FA5151"/>
    <w:rsid w:val="00FA5444"/>
    <w:rsid w:val="00FA58D5"/>
    <w:rsid w:val="00FA5C45"/>
    <w:rsid w:val="00FA5CEE"/>
    <w:rsid w:val="00FA60E1"/>
    <w:rsid w:val="00FA69AC"/>
    <w:rsid w:val="00FA7909"/>
    <w:rsid w:val="00FA79B2"/>
    <w:rsid w:val="00FA7A70"/>
    <w:rsid w:val="00FA7B7B"/>
    <w:rsid w:val="00FA7DA7"/>
    <w:rsid w:val="00FA7FBE"/>
    <w:rsid w:val="00FB070C"/>
    <w:rsid w:val="00FB0B9F"/>
    <w:rsid w:val="00FB14D3"/>
    <w:rsid w:val="00FB1538"/>
    <w:rsid w:val="00FB166E"/>
    <w:rsid w:val="00FB1731"/>
    <w:rsid w:val="00FB1752"/>
    <w:rsid w:val="00FB188D"/>
    <w:rsid w:val="00FB2876"/>
    <w:rsid w:val="00FB2B19"/>
    <w:rsid w:val="00FB35DE"/>
    <w:rsid w:val="00FB3C06"/>
    <w:rsid w:val="00FB3D17"/>
    <w:rsid w:val="00FB468A"/>
    <w:rsid w:val="00FB50C6"/>
    <w:rsid w:val="00FB5605"/>
    <w:rsid w:val="00FB6827"/>
    <w:rsid w:val="00FB6941"/>
    <w:rsid w:val="00FB6971"/>
    <w:rsid w:val="00FB6F38"/>
    <w:rsid w:val="00FB7862"/>
    <w:rsid w:val="00FB78A7"/>
    <w:rsid w:val="00FC24C6"/>
    <w:rsid w:val="00FC2804"/>
    <w:rsid w:val="00FC2B0E"/>
    <w:rsid w:val="00FC36F7"/>
    <w:rsid w:val="00FC4871"/>
    <w:rsid w:val="00FC48E5"/>
    <w:rsid w:val="00FC543F"/>
    <w:rsid w:val="00FC5505"/>
    <w:rsid w:val="00FC66CC"/>
    <w:rsid w:val="00FC6B48"/>
    <w:rsid w:val="00FC6B77"/>
    <w:rsid w:val="00FC7048"/>
    <w:rsid w:val="00FC754D"/>
    <w:rsid w:val="00FD0659"/>
    <w:rsid w:val="00FD19AF"/>
    <w:rsid w:val="00FD25E3"/>
    <w:rsid w:val="00FD2B32"/>
    <w:rsid w:val="00FD313A"/>
    <w:rsid w:val="00FD3AB1"/>
    <w:rsid w:val="00FD3C18"/>
    <w:rsid w:val="00FD3D6E"/>
    <w:rsid w:val="00FD5633"/>
    <w:rsid w:val="00FD563E"/>
    <w:rsid w:val="00FD570E"/>
    <w:rsid w:val="00FD7ACA"/>
    <w:rsid w:val="00FD7DCC"/>
    <w:rsid w:val="00FD7F58"/>
    <w:rsid w:val="00FE04F5"/>
    <w:rsid w:val="00FE066B"/>
    <w:rsid w:val="00FE0F14"/>
    <w:rsid w:val="00FE155B"/>
    <w:rsid w:val="00FE2905"/>
    <w:rsid w:val="00FE2985"/>
    <w:rsid w:val="00FE2A80"/>
    <w:rsid w:val="00FE3687"/>
    <w:rsid w:val="00FE4113"/>
    <w:rsid w:val="00FE4194"/>
    <w:rsid w:val="00FE4346"/>
    <w:rsid w:val="00FE4647"/>
    <w:rsid w:val="00FE4787"/>
    <w:rsid w:val="00FE55A5"/>
    <w:rsid w:val="00FE5BDF"/>
    <w:rsid w:val="00FE5BE3"/>
    <w:rsid w:val="00FE67E5"/>
    <w:rsid w:val="00FF062A"/>
    <w:rsid w:val="00FF0D24"/>
    <w:rsid w:val="00FF113A"/>
    <w:rsid w:val="00FF13AE"/>
    <w:rsid w:val="00FF168A"/>
    <w:rsid w:val="00FF190E"/>
    <w:rsid w:val="00FF1926"/>
    <w:rsid w:val="00FF2028"/>
    <w:rsid w:val="00FF2786"/>
    <w:rsid w:val="00FF2EAF"/>
    <w:rsid w:val="00FF5274"/>
    <w:rsid w:val="00FF6058"/>
    <w:rsid w:val="00FF647F"/>
    <w:rsid w:val="00FF6A49"/>
    <w:rsid w:val="00FF7946"/>
    <w:rsid w:val="00FF7AA8"/>
    <w:rsid w:val="0A3E7ABC"/>
    <w:rsid w:val="0C0B71D0"/>
    <w:rsid w:val="17B95A68"/>
    <w:rsid w:val="197050FD"/>
    <w:rsid w:val="1DDF49E0"/>
    <w:rsid w:val="2702FCDE"/>
    <w:rsid w:val="3BE0E16E"/>
    <w:rsid w:val="3C85C242"/>
    <w:rsid w:val="3CC65CDB"/>
    <w:rsid w:val="3E873EBC"/>
    <w:rsid w:val="4ABB4858"/>
    <w:rsid w:val="533DE789"/>
    <w:rsid w:val="58D2608F"/>
    <w:rsid w:val="5F2376F0"/>
    <w:rsid w:val="61178BF6"/>
    <w:rsid w:val="67B292AD"/>
    <w:rsid w:val="6F5CA57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B486F8"/>
  <w15:docId w15:val="{5B37F723-978F-4B75-86BB-EC8BB80AC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0E6"/>
    <w:pPr>
      <w:spacing w:after="120"/>
    </w:pPr>
    <w:rPr>
      <w:rFonts w:eastAsia="Times New Roman" w:cs="Times New Roman"/>
      <w:sz w:val="22"/>
    </w:rPr>
  </w:style>
  <w:style w:type="paragraph" w:styleId="Heading1">
    <w:name w:val="heading 1"/>
    <w:basedOn w:val="Normal"/>
    <w:next w:val="Normal"/>
    <w:link w:val="Heading1Char"/>
    <w:uiPriority w:val="9"/>
    <w:qFormat/>
    <w:rsid w:val="0042092C"/>
    <w:pPr>
      <w:keepNext/>
      <w:keepLines/>
      <w:spacing w:before="360"/>
      <w:outlineLvl w:val="0"/>
    </w:pPr>
    <w:rPr>
      <w:rFonts w:asciiTheme="majorHAnsi" w:eastAsiaTheme="majorEastAsia" w:hAnsiTheme="majorHAnsi" w:cstheme="majorBidi"/>
      <w:b/>
      <w:bCs/>
      <w:color w:val="1F3864" w:themeColor="accent1" w:themeShade="80"/>
      <w:sz w:val="32"/>
      <w:szCs w:val="32"/>
    </w:rPr>
  </w:style>
  <w:style w:type="paragraph" w:styleId="Heading2">
    <w:name w:val="heading 2"/>
    <w:basedOn w:val="Normal"/>
    <w:next w:val="Normal"/>
    <w:link w:val="Heading2Char"/>
    <w:uiPriority w:val="9"/>
    <w:unhideWhenUsed/>
    <w:qFormat/>
    <w:rsid w:val="00120B3A"/>
    <w:pPr>
      <w:keepNext/>
      <w:keepLines/>
      <w:spacing w:before="360"/>
      <w:outlineLvl w:val="1"/>
    </w:pPr>
    <w:rPr>
      <w:rFonts w:eastAsiaTheme="majorEastAsia" w:cstheme="minorHAnsi"/>
      <w:b/>
      <w:bCs/>
      <w:color w:val="FF9900"/>
      <w:sz w:val="28"/>
      <w:szCs w:val="28"/>
    </w:rPr>
  </w:style>
  <w:style w:type="paragraph" w:styleId="Heading3">
    <w:name w:val="heading 3"/>
    <w:basedOn w:val="Normal"/>
    <w:next w:val="Normal"/>
    <w:link w:val="Heading3Char"/>
    <w:uiPriority w:val="9"/>
    <w:unhideWhenUsed/>
    <w:qFormat/>
    <w:rsid w:val="009D42EA"/>
    <w:pPr>
      <w:keepNext/>
      <w:keepLines/>
      <w:spacing w:before="180"/>
      <w:outlineLvl w:val="2"/>
    </w:pPr>
    <w:rPr>
      <w:rFonts w:asciiTheme="majorHAnsi" w:hAnsiTheme="majorHAnsi" w:cstheme="majorBidi"/>
      <w:b/>
      <w:bCs/>
      <w:color w:val="4472C4" w:themeColor="accent1"/>
      <w:sz w:val="24"/>
    </w:rPr>
  </w:style>
  <w:style w:type="paragraph" w:styleId="Heading4">
    <w:name w:val="heading 4"/>
    <w:basedOn w:val="Normal"/>
    <w:next w:val="Normal"/>
    <w:link w:val="Heading4Char"/>
    <w:uiPriority w:val="9"/>
    <w:unhideWhenUsed/>
    <w:qFormat/>
    <w:rsid w:val="00F11347"/>
    <w:pPr>
      <w:keepNext/>
      <w:keepLines/>
      <w:spacing w:after="60"/>
      <w:outlineLvl w:val="3"/>
    </w:pPr>
    <w:rPr>
      <w:rFonts w:cstheme="minorHAnsi"/>
      <w:color w:val="538135" w:themeColor="accent6" w:themeShade="BF"/>
      <w:szCs w:val="22"/>
      <w:u w:val="single"/>
    </w:rPr>
  </w:style>
  <w:style w:type="paragraph" w:styleId="Heading5">
    <w:name w:val="heading 5"/>
    <w:basedOn w:val="Normal"/>
    <w:next w:val="Normal"/>
    <w:link w:val="Heading5Char"/>
    <w:uiPriority w:val="9"/>
    <w:unhideWhenUsed/>
    <w:qFormat/>
    <w:rsid w:val="00366182"/>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11578"/>
    <w:pPr>
      <w:ind w:left="720"/>
      <w:contextualSpacing/>
    </w:pPr>
  </w:style>
  <w:style w:type="character" w:customStyle="1" w:styleId="Heading1Char">
    <w:name w:val="Heading 1 Char"/>
    <w:basedOn w:val="DefaultParagraphFont"/>
    <w:link w:val="Heading1"/>
    <w:uiPriority w:val="9"/>
    <w:rsid w:val="0042092C"/>
    <w:rPr>
      <w:rFonts w:asciiTheme="majorHAnsi" w:eastAsiaTheme="majorEastAsia" w:hAnsiTheme="majorHAnsi" w:cstheme="majorBidi"/>
      <w:b/>
      <w:bCs/>
      <w:color w:val="1F3864" w:themeColor="accent1" w:themeShade="80"/>
      <w:sz w:val="32"/>
      <w:szCs w:val="32"/>
    </w:rPr>
  </w:style>
  <w:style w:type="table" w:styleId="GridTable4-Accent1">
    <w:name w:val="Grid Table 4 Accent 1"/>
    <w:basedOn w:val="TableNormal"/>
    <w:uiPriority w:val="49"/>
    <w:rsid w:val="00DB7BEF"/>
    <w:rPr>
      <w:rFonts w:eastAsiaTheme="minorEastAsia"/>
      <w:lang w:eastAsia="ja-JP"/>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EndnoteText">
    <w:name w:val="endnote text"/>
    <w:basedOn w:val="Normal"/>
    <w:link w:val="EndnoteTextChar"/>
    <w:uiPriority w:val="99"/>
    <w:unhideWhenUsed/>
    <w:rsid w:val="00A37CDD"/>
    <w:rPr>
      <w:sz w:val="20"/>
      <w:szCs w:val="20"/>
    </w:rPr>
  </w:style>
  <w:style w:type="character" w:customStyle="1" w:styleId="EndnoteTextChar">
    <w:name w:val="Endnote Text Char"/>
    <w:basedOn w:val="DefaultParagraphFont"/>
    <w:link w:val="EndnoteText"/>
    <w:uiPriority w:val="99"/>
    <w:rsid w:val="00A37CDD"/>
    <w:rPr>
      <w:sz w:val="20"/>
      <w:szCs w:val="20"/>
    </w:rPr>
  </w:style>
  <w:style w:type="character" w:styleId="EndnoteReference">
    <w:name w:val="endnote reference"/>
    <w:basedOn w:val="DefaultParagraphFont"/>
    <w:uiPriority w:val="99"/>
    <w:semiHidden/>
    <w:unhideWhenUsed/>
    <w:rsid w:val="00A37CDD"/>
    <w:rPr>
      <w:vertAlign w:val="superscript"/>
    </w:rPr>
  </w:style>
  <w:style w:type="table" w:styleId="GridTable5Dark-Accent1">
    <w:name w:val="Grid Table 5 Dark Accent 1"/>
    <w:basedOn w:val="TableNormal"/>
    <w:uiPriority w:val="50"/>
    <w:rsid w:val="00A37CD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Header">
    <w:name w:val="header"/>
    <w:link w:val="HeaderChar"/>
    <w:uiPriority w:val="99"/>
    <w:unhideWhenUsed/>
    <w:rsid w:val="00054E17"/>
    <w:pPr>
      <w:tabs>
        <w:tab w:val="center" w:pos="4680"/>
        <w:tab w:val="right" w:pos="9360"/>
      </w:tabs>
    </w:pPr>
    <w:rPr>
      <w:sz w:val="22"/>
      <w:szCs w:val="22"/>
    </w:rPr>
  </w:style>
  <w:style w:type="character" w:customStyle="1" w:styleId="HeaderChar">
    <w:name w:val="Header Char"/>
    <w:basedOn w:val="DefaultParagraphFont"/>
    <w:link w:val="Header"/>
    <w:uiPriority w:val="99"/>
    <w:rsid w:val="00054E17"/>
    <w:rPr>
      <w:sz w:val="22"/>
      <w:szCs w:val="22"/>
    </w:rPr>
  </w:style>
  <w:style w:type="paragraph" w:styleId="Footer">
    <w:name w:val="footer"/>
    <w:link w:val="FooterChar"/>
    <w:uiPriority w:val="99"/>
    <w:unhideWhenUsed/>
    <w:rsid w:val="00054E17"/>
    <w:pPr>
      <w:tabs>
        <w:tab w:val="center" w:pos="4680"/>
        <w:tab w:val="right" w:pos="9360"/>
      </w:tabs>
    </w:pPr>
    <w:rPr>
      <w:sz w:val="16"/>
      <w:szCs w:val="22"/>
    </w:rPr>
  </w:style>
  <w:style w:type="character" w:customStyle="1" w:styleId="FooterChar">
    <w:name w:val="Footer Char"/>
    <w:basedOn w:val="DefaultParagraphFont"/>
    <w:link w:val="Footer"/>
    <w:uiPriority w:val="99"/>
    <w:rsid w:val="00054E17"/>
    <w:rPr>
      <w:sz w:val="16"/>
      <w:szCs w:val="22"/>
    </w:rPr>
  </w:style>
  <w:style w:type="character" w:customStyle="1" w:styleId="Heading2Char">
    <w:name w:val="Heading 2 Char"/>
    <w:basedOn w:val="DefaultParagraphFont"/>
    <w:link w:val="Heading2"/>
    <w:uiPriority w:val="9"/>
    <w:rsid w:val="00120B3A"/>
    <w:rPr>
      <w:rFonts w:eastAsiaTheme="majorEastAsia" w:cstheme="minorHAnsi"/>
      <w:b/>
      <w:bCs/>
      <w:color w:val="FF9900"/>
      <w:sz w:val="28"/>
      <w:szCs w:val="28"/>
    </w:rPr>
  </w:style>
  <w:style w:type="table" w:styleId="ListTable4-Accent1">
    <w:name w:val="List Table 4 Accent 1"/>
    <w:basedOn w:val="TableNormal"/>
    <w:uiPriority w:val="49"/>
    <w:rsid w:val="004B6FB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Dantableblue">
    <w:name w:val="Dan table blue"/>
    <w:basedOn w:val="GridTable4-Accent1"/>
    <w:uiPriority w:val="99"/>
    <w:rsid w:val="000C063A"/>
    <w:rPr>
      <w:sz w:val="16"/>
    </w:rP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val="0"/>
        <w:bCs/>
        <w:sz w:val="16"/>
      </w:rPr>
    </w:tblStylePr>
    <w:tblStylePr w:type="lastCol">
      <w:rPr>
        <w:b/>
        <w:bCs/>
      </w:rPr>
    </w:tblStylePr>
    <w:tblStylePr w:type="band1Vert">
      <w:rPr>
        <w:rFonts w:asciiTheme="minorHAnsi" w:hAnsiTheme="minorHAnsi"/>
      </w:rPr>
      <w:tblPr/>
      <w:tcPr>
        <w:shd w:val="clear" w:color="auto" w:fill="D9E2F3" w:themeFill="accent1" w:themeFillTint="33"/>
      </w:tcPr>
    </w:tblStylePr>
    <w:tblStylePr w:type="band2Vert">
      <w:rPr>
        <w:rFonts w:asciiTheme="minorHAnsi" w:hAnsiTheme="minorHAnsi"/>
        <w:sz w:val="16"/>
      </w:rPr>
      <w:tblPr/>
      <w:tcPr>
        <w:shd w:val="clear" w:color="auto" w:fill="D9E2F3" w:themeFill="accent1" w:themeFillTint="33"/>
      </w:tcPr>
    </w:tblStylePr>
    <w:tblStylePr w:type="band1Horz">
      <w:rPr>
        <w:sz w:val="16"/>
      </w:rPr>
      <w:tblPr/>
      <w:tcPr>
        <w:shd w:val="clear" w:color="auto" w:fill="D9E2F3" w:themeFill="accent1" w:themeFillTint="33"/>
      </w:tcPr>
    </w:tblStylePr>
  </w:style>
  <w:style w:type="table" w:customStyle="1" w:styleId="DanTable-Blue">
    <w:name w:val="Dan Table - Blue"/>
    <w:basedOn w:val="TableNormal"/>
    <w:uiPriority w:val="99"/>
    <w:rsid w:val="004B6FB8"/>
    <w:rPr>
      <w:sz w:val="16"/>
    </w:rPr>
    <w:tblPr/>
  </w:style>
  <w:style w:type="paragraph" w:styleId="FootnoteText">
    <w:name w:val="footnote text"/>
    <w:basedOn w:val="Normal"/>
    <w:link w:val="FootnoteTextChar"/>
    <w:uiPriority w:val="99"/>
    <w:unhideWhenUsed/>
    <w:rsid w:val="001D3FD7"/>
    <w:rPr>
      <w:sz w:val="20"/>
      <w:szCs w:val="20"/>
    </w:rPr>
  </w:style>
  <w:style w:type="character" w:customStyle="1" w:styleId="FootnoteTextChar">
    <w:name w:val="Footnote Text Char"/>
    <w:basedOn w:val="DefaultParagraphFont"/>
    <w:link w:val="FootnoteText"/>
    <w:uiPriority w:val="99"/>
    <w:rsid w:val="001D3FD7"/>
    <w:rPr>
      <w:sz w:val="20"/>
      <w:szCs w:val="20"/>
    </w:rPr>
  </w:style>
  <w:style w:type="character" w:styleId="FootnoteReference">
    <w:name w:val="footnote reference"/>
    <w:basedOn w:val="DefaultParagraphFont"/>
    <w:uiPriority w:val="99"/>
    <w:semiHidden/>
    <w:unhideWhenUsed/>
    <w:rsid w:val="001D3FD7"/>
    <w:rPr>
      <w:vertAlign w:val="superscript"/>
    </w:rPr>
  </w:style>
  <w:style w:type="table" w:styleId="TableGrid">
    <w:name w:val="Table Grid"/>
    <w:basedOn w:val="TableNormal"/>
    <w:uiPriority w:val="39"/>
    <w:rsid w:val="00BC75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uiPriority w:val="99"/>
    <w:rsid w:val="00BC7578"/>
    <w:rPr>
      <w:b/>
      <w:bCs/>
    </w:rPr>
  </w:style>
  <w:style w:type="paragraph" w:styleId="Caption">
    <w:name w:val="caption"/>
    <w:basedOn w:val="Normal"/>
    <w:next w:val="Normal"/>
    <w:uiPriority w:val="35"/>
    <w:unhideWhenUsed/>
    <w:qFormat/>
    <w:rsid w:val="0053560E"/>
    <w:pPr>
      <w:spacing w:after="200"/>
    </w:pPr>
    <w:rPr>
      <w:i/>
      <w:iCs/>
      <w:color w:val="44546A" w:themeColor="text2"/>
      <w:sz w:val="18"/>
      <w:szCs w:val="18"/>
    </w:rPr>
  </w:style>
  <w:style w:type="paragraph" w:customStyle="1" w:styleId="Citation">
    <w:name w:val="Citation"/>
    <w:autoRedefine/>
    <w:qFormat/>
    <w:rsid w:val="000D474F"/>
    <w:pPr>
      <w:keepLines/>
      <w:spacing w:after="240"/>
      <w:ind w:left="86"/>
      <w:contextualSpacing/>
    </w:pPr>
    <w:rPr>
      <w:rFonts w:hAnsi="Calibri"/>
      <w:i/>
      <w:iCs/>
      <w:color w:val="000000" w:themeColor="dark1"/>
      <w:sz w:val="16"/>
      <w:szCs w:val="16"/>
    </w:rPr>
  </w:style>
  <w:style w:type="paragraph" w:customStyle="1" w:styleId="Chart">
    <w:name w:val="Chart"/>
    <w:next w:val="Normal"/>
    <w:uiPriority w:val="99"/>
    <w:qFormat/>
    <w:rsid w:val="00EF3AFE"/>
    <w:pPr>
      <w:keepNext/>
      <w:spacing w:before="120"/>
    </w:pPr>
    <w:rPr>
      <w:noProof/>
      <w:sz w:val="16"/>
      <w:szCs w:val="22"/>
    </w:rPr>
  </w:style>
  <w:style w:type="character" w:customStyle="1" w:styleId="Heading3Char">
    <w:name w:val="Heading 3 Char"/>
    <w:basedOn w:val="DefaultParagraphFont"/>
    <w:link w:val="Heading3"/>
    <w:uiPriority w:val="9"/>
    <w:rsid w:val="009D42EA"/>
    <w:rPr>
      <w:rFonts w:asciiTheme="majorHAnsi" w:eastAsia="Times New Roman" w:hAnsiTheme="majorHAnsi" w:cstheme="majorBidi"/>
      <w:b/>
      <w:bCs/>
      <w:color w:val="4472C4" w:themeColor="accent1"/>
    </w:rPr>
  </w:style>
  <w:style w:type="character" w:customStyle="1" w:styleId="Heading4Char">
    <w:name w:val="Heading 4 Char"/>
    <w:basedOn w:val="DefaultParagraphFont"/>
    <w:link w:val="Heading4"/>
    <w:uiPriority w:val="9"/>
    <w:rsid w:val="00F11347"/>
    <w:rPr>
      <w:rFonts w:eastAsia="Times New Roman" w:cstheme="minorHAnsi"/>
      <w:color w:val="538135" w:themeColor="accent6" w:themeShade="BF"/>
      <w:sz w:val="22"/>
      <w:szCs w:val="22"/>
      <w:u w:val="single"/>
    </w:rPr>
  </w:style>
  <w:style w:type="table" w:customStyle="1" w:styleId="Dantableblue1">
    <w:name w:val="Dan table blue1"/>
    <w:basedOn w:val="GridTable4-Accent1"/>
    <w:uiPriority w:val="99"/>
    <w:rsid w:val="002B1C5E"/>
    <w:rPr>
      <w:rFonts w:eastAsia="Calibri"/>
      <w:sz w:val="16"/>
      <w:lang w:eastAsia="en-US"/>
    </w:rP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val="0"/>
        <w:bCs/>
        <w:sz w:val="16"/>
      </w:rPr>
    </w:tblStylePr>
    <w:tblStylePr w:type="lastCol">
      <w:rPr>
        <w:b/>
        <w:bCs/>
      </w:rPr>
    </w:tblStylePr>
    <w:tblStylePr w:type="band1Vert">
      <w:tblPr/>
      <w:tcPr>
        <w:shd w:val="clear" w:color="auto" w:fill="D9E2F3"/>
      </w:tcPr>
    </w:tblStylePr>
    <w:tblStylePr w:type="band2Vert">
      <w:tblPr/>
      <w:tcPr>
        <w:shd w:val="clear" w:color="auto" w:fill="D9E2F3"/>
      </w:tcPr>
    </w:tblStylePr>
    <w:tblStylePr w:type="band1Horz">
      <w:tblPr/>
      <w:tcPr>
        <w:shd w:val="clear" w:color="auto" w:fill="D9E2F3"/>
      </w:tcPr>
    </w:tblStylePr>
  </w:style>
  <w:style w:type="table" w:customStyle="1" w:styleId="Dantableblue2">
    <w:name w:val="Dan table blue2"/>
    <w:basedOn w:val="GridTable4-Accent1"/>
    <w:uiPriority w:val="99"/>
    <w:rsid w:val="002B1C5E"/>
    <w:rPr>
      <w:rFonts w:eastAsia="Calibri"/>
      <w:sz w:val="16"/>
      <w:lang w:eastAsia="en-US"/>
    </w:rP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val="0"/>
        <w:bCs/>
        <w:sz w:val="16"/>
      </w:rPr>
    </w:tblStylePr>
    <w:tblStylePr w:type="lastCol">
      <w:rPr>
        <w:b/>
        <w:bCs/>
      </w:rPr>
    </w:tblStylePr>
    <w:tblStylePr w:type="band1Vert">
      <w:tblPr/>
      <w:tcPr>
        <w:shd w:val="clear" w:color="auto" w:fill="D9E2F3"/>
      </w:tcPr>
    </w:tblStylePr>
    <w:tblStylePr w:type="band2Vert">
      <w:tblPr/>
      <w:tcPr>
        <w:shd w:val="clear" w:color="auto" w:fill="D9E2F3"/>
      </w:tcPr>
    </w:tblStylePr>
    <w:tblStylePr w:type="band1Horz">
      <w:tblPr/>
      <w:tcPr>
        <w:shd w:val="clear" w:color="auto" w:fill="D9E2F3"/>
      </w:tcPr>
    </w:tblStylePr>
  </w:style>
  <w:style w:type="character" w:customStyle="1" w:styleId="Heading5Char">
    <w:name w:val="Heading 5 Char"/>
    <w:basedOn w:val="DefaultParagraphFont"/>
    <w:link w:val="Heading5"/>
    <w:uiPriority w:val="9"/>
    <w:rsid w:val="00366182"/>
    <w:rPr>
      <w:rFonts w:asciiTheme="majorHAnsi" w:eastAsiaTheme="majorEastAsia" w:hAnsiTheme="majorHAnsi" w:cstheme="majorBidi"/>
      <w:color w:val="2F5496" w:themeColor="accent1" w:themeShade="BF"/>
      <w:sz w:val="22"/>
      <w:szCs w:val="22"/>
    </w:rPr>
  </w:style>
  <w:style w:type="character" w:styleId="Strong">
    <w:name w:val="Strong"/>
    <w:basedOn w:val="DefaultParagraphFont"/>
    <w:uiPriority w:val="22"/>
    <w:qFormat/>
    <w:rsid w:val="00C570A8"/>
    <w:rPr>
      <w:color w:val="595959" w:themeColor="text1" w:themeTint="A6"/>
      <w:u w:val="single"/>
    </w:rPr>
  </w:style>
  <w:style w:type="table" w:customStyle="1" w:styleId="GridTable5Dark-Accent11">
    <w:name w:val="Grid Table 5 Dark - Accent 11"/>
    <w:basedOn w:val="TableNormal"/>
    <w:next w:val="GridTable5Dark-Accent1"/>
    <w:uiPriority w:val="50"/>
    <w:rsid w:val="0089223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Dantableblue3">
    <w:name w:val="Dan table blue3"/>
    <w:basedOn w:val="GridTable4-Accent1"/>
    <w:uiPriority w:val="99"/>
    <w:rsid w:val="00892231"/>
    <w:rPr>
      <w:sz w:val="16"/>
    </w:rP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val="0"/>
        <w:bCs/>
        <w:sz w:val="16"/>
      </w:rPr>
    </w:tblStylePr>
    <w:tblStylePr w:type="lastCol">
      <w:rPr>
        <w:b/>
        <w:bCs/>
      </w:rPr>
    </w:tblStylePr>
    <w:tblStylePr w:type="band1Vert">
      <w:tblPr/>
      <w:tcPr>
        <w:shd w:val="clear" w:color="auto" w:fill="D9E2F3"/>
      </w:tcPr>
    </w:tblStylePr>
    <w:tblStylePr w:type="band2Vert">
      <w:tblPr/>
      <w:tcPr>
        <w:shd w:val="clear" w:color="auto" w:fill="D9E2F3"/>
      </w:tcPr>
    </w:tblStylePr>
    <w:tblStylePr w:type="band1Horz">
      <w:tblPr/>
      <w:tcPr>
        <w:shd w:val="clear" w:color="auto" w:fill="D9E2F3"/>
      </w:tcPr>
    </w:tblStylePr>
  </w:style>
  <w:style w:type="character" w:styleId="CommentReference">
    <w:name w:val="annotation reference"/>
    <w:basedOn w:val="DefaultParagraphFont"/>
    <w:uiPriority w:val="99"/>
    <w:unhideWhenUsed/>
    <w:rsid w:val="00D260C4"/>
    <w:rPr>
      <w:sz w:val="16"/>
      <w:szCs w:val="16"/>
    </w:rPr>
  </w:style>
  <w:style w:type="paragraph" w:styleId="CommentText">
    <w:name w:val="annotation text"/>
    <w:basedOn w:val="Normal"/>
    <w:link w:val="CommentTextChar"/>
    <w:uiPriority w:val="99"/>
    <w:unhideWhenUsed/>
    <w:rsid w:val="00D260C4"/>
    <w:rPr>
      <w:sz w:val="20"/>
      <w:szCs w:val="20"/>
    </w:rPr>
  </w:style>
  <w:style w:type="character" w:customStyle="1" w:styleId="CommentTextChar">
    <w:name w:val="Comment Text Char"/>
    <w:basedOn w:val="DefaultParagraphFont"/>
    <w:link w:val="CommentText"/>
    <w:uiPriority w:val="99"/>
    <w:rsid w:val="00D260C4"/>
    <w:rPr>
      <w:sz w:val="20"/>
      <w:szCs w:val="20"/>
    </w:rPr>
  </w:style>
  <w:style w:type="paragraph" w:styleId="CommentSubject">
    <w:name w:val="annotation subject"/>
    <w:basedOn w:val="CommentText"/>
    <w:next w:val="CommentText"/>
    <w:link w:val="CommentSubjectChar"/>
    <w:uiPriority w:val="99"/>
    <w:semiHidden/>
    <w:unhideWhenUsed/>
    <w:rsid w:val="00D260C4"/>
    <w:rPr>
      <w:b/>
      <w:bCs/>
    </w:rPr>
  </w:style>
  <w:style w:type="character" w:customStyle="1" w:styleId="CommentSubjectChar">
    <w:name w:val="Comment Subject Char"/>
    <w:basedOn w:val="CommentTextChar"/>
    <w:link w:val="CommentSubject"/>
    <w:uiPriority w:val="99"/>
    <w:semiHidden/>
    <w:rsid w:val="00D260C4"/>
    <w:rPr>
      <w:b/>
      <w:bCs/>
      <w:sz w:val="20"/>
      <w:szCs w:val="20"/>
    </w:rPr>
  </w:style>
  <w:style w:type="paragraph" w:styleId="TOCHeading">
    <w:name w:val="TOC Heading"/>
    <w:basedOn w:val="Heading1"/>
    <w:next w:val="Normal"/>
    <w:uiPriority w:val="39"/>
    <w:unhideWhenUsed/>
    <w:qFormat/>
    <w:rsid w:val="006D085F"/>
    <w:pPr>
      <w:spacing w:before="480" w:line="276" w:lineRule="auto"/>
      <w:outlineLvl w:val="9"/>
    </w:pPr>
    <w:rPr>
      <w:sz w:val="28"/>
      <w:szCs w:val="28"/>
    </w:rPr>
  </w:style>
  <w:style w:type="paragraph" w:styleId="TOC1">
    <w:name w:val="toc 1"/>
    <w:next w:val="Normal"/>
    <w:autoRedefine/>
    <w:uiPriority w:val="39"/>
    <w:unhideWhenUsed/>
    <w:rsid w:val="00C11723"/>
    <w:pPr>
      <w:tabs>
        <w:tab w:val="right" w:leader="dot" w:pos="10070"/>
      </w:tabs>
      <w:spacing w:before="120"/>
    </w:pPr>
    <w:rPr>
      <w:rFonts w:eastAsia="Times New Roman" w:cstheme="minorHAnsi"/>
      <w:b/>
      <w:bCs/>
      <w:noProof/>
    </w:rPr>
  </w:style>
  <w:style w:type="paragraph" w:styleId="TOC3">
    <w:name w:val="toc 3"/>
    <w:next w:val="Normal"/>
    <w:autoRedefine/>
    <w:uiPriority w:val="39"/>
    <w:unhideWhenUsed/>
    <w:rsid w:val="00027814"/>
    <w:pPr>
      <w:ind w:left="440"/>
    </w:pPr>
    <w:rPr>
      <w:rFonts w:eastAsia="Times New Roman" w:cstheme="minorHAnsi"/>
      <w:sz w:val="20"/>
      <w:szCs w:val="20"/>
    </w:rPr>
  </w:style>
  <w:style w:type="paragraph" w:styleId="TOC2">
    <w:name w:val="toc 2"/>
    <w:next w:val="Normal"/>
    <w:autoRedefine/>
    <w:uiPriority w:val="39"/>
    <w:unhideWhenUsed/>
    <w:rsid w:val="00635A4C"/>
    <w:pPr>
      <w:tabs>
        <w:tab w:val="right" w:leader="dot" w:pos="10070"/>
      </w:tabs>
      <w:spacing w:before="120"/>
      <w:ind w:left="220"/>
    </w:pPr>
    <w:rPr>
      <w:rFonts w:ascii="Calibri" w:eastAsia="DengXian Light" w:hAnsi="Calibri" w:cs="Calibri"/>
      <w:noProof/>
      <w:sz w:val="22"/>
      <w:szCs w:val="22"/>
    </w:rPr>
  </w:style>
  <w:style w:type="character" w:styleId="Hyperlink">
    <w:name w:val="Hyperlink"/>
    <w:basedOn w:val="DefaultParagraphFont"/>
    <w:uiPriority w:val="99"/>
    <w:unhideWhenUsed/>
    <w:rsid w:val="006D085F"/>
    <w:rPr>
      <w:color w:val="0563C1" w:themeColor="hyperlink"/>
      <w:u w:val="single"/>
    </w:rPr>
  </w:style>
  <w:style w:type="paragraph" w:styleId="TOC4">
    <w:name w:val="toc 4"/>
    <w:basedOn w:val="Normal"/>
    <w:next w:val="Normal"/>
    <w:autoRedefine/>
    <w:uiPriority w:val="39"/>
    <w:unhideWhenUsed/>
    <w:rsid w:val="006D085F"/>
    <w:pPr>
      <w:ind w:left="660"/>
    </w:pPr>
    <w:rPr>
      <w:rFonts w:cstheme="minorHAnsi"/>
      <w:sz w:val="20"/>
      <w:szCs w:val="20"/>
    </w:rPr>
  </w:style>
  <w:style w:type="paragraph" w:styleId="TOC5">
    <w:name w:val="toc 5"/>
    <w:basedOn w:val="Normal"/>
    <w:next w:val="Normal"/>
    <w:autoRedefine/>
    <w:uiPriority w:val="39"/>
    <w:unhideWhenUsed/>
    <w:rsid w:val="006D085F"/>
    <w:pPr>
      <w:ind w:left="880"/>
    </w:pPr>
    <w:rPr>
      <w:rFonts w:cstheme="minorHAnsi"/>
      <w:sz w:val="20"/>
      <w:szCs w:val="20"/>
    </w:rPr>
  </w:style>
  <w:style w:type="paragraph" w:styleId="TOC6">
    <w:name w:val="toc 6"/>
    <w:basedOn w:val="Normal"/>
    <w:next w:val="Normal"/>
    <w:autoRedefine/>
    <w:uiPriority w:val="39"/>
    <w:unhideWhenUsed/>
    <w:rsid w:val="006D085F"/>
    <w:pPr>
      <w:ind w:left="1100"/>
    </w:pPr>
    <w:rPr>
      <w:rFonts w:cstheme="minorHAnsi"/>
      <w:sz w:val="20"/>
      <w:szCs w:val="20"/>
    </w:rPr>
  </w:style>
  <w:style w:type="paragraph" w:styleId="TOC7">
    <w:name w:val="toc 7"/>
    <w:basedOn w:val="Normal"/>
    <w:next w:val="Normal"/>
    <w:autoRedefine/>
    <w:uiPriority w:val="39"/>
    <w:unhideWhenUsed/>
    <w:rsid w:val="006D085F"/>
    <w:pPr>
      <w:ind w:left="1320"/>
    </w:pPr>
    <w:rPr>
      <w:rFonts w:cstheme="minorHAnsi"/>
      <w:sz w:val="20"/>
      <w:szCs w:val="20"/>
    </w:rPr>
  </w:style>
  <w:style w:type="paragraph" w:styleId="TOC8">
    <w:name w:val="toc 8"/>
    <w:basedOn w:val="Normal"/>
    <w:next w:val="Normal"/>
    <w:autoRedefine/>
    <w:uiPriority w:val="39"/>
    <w:unhideWhenUsed/>
    <w:rsid w:val="006D085F"/>
    <w:pPr>
      <w:ind w:left="1540"/>
    </w:pPr>
    <w:rPr>
      <w:rFonts w:cstheme="minorHAnsi"/>
      <w:sz w:val="20"/>
      <w:szCs w:val="20"/>
    </w:rPr>
  </w:style>
  <w:style w:type="paragraph" w:styleId="TOC9">
    <w:name w:val="toc 9"/>
    <w:basedOn w:val="Normal"/>
    <w:next w:val="Normal"/>
    <w:autoRedefine/>
    <w:uiPriority w:val="39"/>
    <w:unhideWhenUsed/>
    <w:rsid w:val="006D085F"/>
    <w:pPr>
      <w:ind w:left="1760"/>
    </w:pPr>
    <w:rPr>
      <w:rFonts w:cstheme="minorHAnsi"/>
      <w:sz w:val="20"/>
      <w:szCs w:val="20"/>
    </w:rPr>
  </w:style>
  <w:style w:type="paragraph" w:customStyle="1" w:styleId="Bullet">
    <w:name w:val="Bullet"/>
    <w:basedOn w:val="ListParagraph"/>
    <w:link w:val="BulletChar"/>
    <w:autoRedefine/>
    <w:qFormat/>
    <w:rsid w:val="00FC66CC"/>
    <w:pPr>
      <w:keepLines/>
      <w:numPr>
        <w:numId w:val="4"/>
      </w:numPr>
      <w:spacing w:after="0"/>
    </w:pPr>
    <w:rPr>
      <w:rFonts w:cs="Arial"/>
      <w:color w:val="000000" w:themeColor="text1"/>
    </w:rPr>
  </w:style>
  <w:style w:type="character" w:customStyle="1" w:styleId="il">
    <w:name w:val="il"/>
    <w:basedOn w:val="DefaultParagraphFont"/>
    <w:rsid w:val="00FC36F7"/>
  </w:style>
  <w:style w:type="character" w:customStyle="1" w:styleId="BulletChar">
    <w:name w:val="Bullet Char"/>
    <w:basedOn w:val="DefaultParagraphFont"/>
    <w:link w:val="Bullet"/>
    <w:rsid w:val="00FC66CC"/>
    <w:rPr>
      <w:rFonts w:eastAsia="Times New Roman" w:cs="Arial"/>
      <w:color w:val="000000" w:themeColor="text1"/>
      <w:sz w:val="22"/>
    </w:rPr>
  </w:style>
  <w:style w:type="character" w:customStyle="1" w:styleId="ListParagraphChar">
    <w:name w:val="List Paragraph Char"/>
    <w:basedOn w:val="DefaultParagraphFont"/>
    <w:link w:val="ListParagraph"/>
    <w:uiPriority w:val="34"/>
    <w:rsid w:val="005749C2"/>
    <w:rPr>
      <w:rFonts w:eastAsia="Times New Roman" w:cs="Times New Roman"/>
      <w:sz w:val="22"/>
    </w:rPr>
  </w:style>
  <w:style w:type="paragraph" w:customStyle="1" w:styleId="red">
    <w:name w:val="red"/>
    <w:uiPriority w:val="99"/>
    <w:rsid w:val="009C7024"/>
    <w:pPr>
      <w:ind w:left="4320" w:firstLine="720"/>
    </w:pPr>
    <w:rPr>
      <w:rFonts w:ascii="Comic Sans MS" w:eastAsiaTheme="majorEastAsia" w:hAnsi="Comic Sans MS" w:cs="Apple Chancery"/>
      <w:b/>
      <w:bCs/>
      <w:i/>
      <w:iCs/>
      <w:color w:val="C00000"/>
    </w:rPr>
  </w:style>
  <w:style w:type="paragraph" w:customStyle="1" w:styleId="TableParagraph">
    <w:name w:val="Table Paragraph"/>
    <w:basedOn w:val="Normal"/>
    <w:uiPriority w:val="1"/>
    <w:qFormat/>
    <w:rsid w:val="004E36E4"/>
    <w:pPr>
      <w:widowControl w:val="0"/>
      <w:autoSpaceDE w:val="0"/>
      <w:autoSpaceDN w:val="0"/>
    </w:pPr>
    <w:rPr>
      <w:rFonts w:ascii="Lucida Sans" w:eastAsia="Lucida Sans" w:hAnsi="Lucida Sans" w:cs="Lucida Sans"/>
      <w:szCs w:val="22"/>
    </w:rPr>
  </w:style>
  <w:style w:type="paragraph" w:styleId="BodyText">
    <w:name w:val="Body Text"/>
    <w:basedOn w:val="Normal"/>
    <w:link w:val="BodyTextChar"/>
    <w:uiPriority w:val="1"/>
    <w:unhideWhenUsed/>
    <w:qFormat/>
    <w:rsid w:val="006328EE"/>
  </w:style>
  <w:style w:type="character" w:customStyle="1" w:styleId="BodyTextChar">
    <w:name w:val="Body Text Char"/>
    <w:basedOn w:val="DefaultParagraphFont"/>
    <w:link w:val="BodyText"/>
    <w:uiPriority w:val="99"/>
    <w:rsid w:val="006328EE"/>
    <w:rPr>
      <w:rFonts w:eastAsia="Times New Roman" w:cs="Times New Roman"/>
      <w:sz w:val="22"/>
    </w:rPr>
  </w:style>
  <w:style w:type="paragraph" w:styleId="Revision">
    <w:name w:val="Revision"/>
    <w:hidden/>
    <w:uiPriority w:val="99"/>
    <w:semiHidden/>
    <w:rsid w:val="00014DA8"/>
    <w:rPr>
      <w:rFonts w:eastAsia="Times New Roman" w:cs="Times New Roman"/>
      <w:sz w:val="22"/>
    </w:rPr>
  </w:style>
  <w:style w:type="paragraph" w:customStyle="1" w:styleId="Default">
    <w:name w:val="Default"/>
    <w:uiPriority w:val="99"/>
    <w:rsid w:val="00374116"/>
    <w:pPr>
      <w:autoSpaceDE w:val="0"/>
      <w:autoSpaceDN w:val="0"/>
      <w:adjustRightInd w:val="0"/>
    </w:pPr>
    <w:rPr>
      <w:rFonts w:ascii="Sailec" w:hAnsi="Sailec" w:cs="Sailec"/>
      <w:color w:val="000000"/>
    </w:rPr>
  </w:style>
  <w:style w:type="character" w:styleId="FollowedHyperlink">
    <w:name w:val="FollowedHyperlink"/>
    <w:basedOn w:val="DefaultParagraphFont"/>
    <w:uiPriority w:val="99"/>
    <w:semiHidden/>
    <w:unhideWhenUsed/>
    <w:rsid w:val="00C96387"/>
    <w:rPr>
      <w:color w:val="954F72" w:themeColor="followedHyperlink"/>
      <w:u w:val="single"/>
    </w:rPr>
  </w:style>
  <w:style w:type="paragraph" w:customStyle="1" w:styleId="msonormal0">
    <w:name w:val="msonormal"/>
    <w:basedOn w:val="Normal"/>
    <w:uiPriority w:val="99"/>
    <w:semiHidden/>
    <w:rsid w:val="00C96387"/>
    <w:pPr>
      <w:spacing w:before="100" w:beforeAutospacing="1" w:after="100" w:afterAutospacing="1"/>
    </w:pPr>
    <w:rPr>
      <w:rFonts w:ascii="Times New Roman" w:hAnsi="Times New Roman"/>
      <w:sz w:val="24"/>
    </w:rPr>
  </w:style>
  <w:style w:type="paragraph" w:styleId="NormalWeb">
    <w:name w:val="Normal (Web)"/>
    <w:basedOn w:val="Normal"/>
    <w:uiPriority w:val="99"/>
    <w:unhideWhenUsed/>
    <w:rsid w:val="00C96387"/>
    <w:pPr>
      <w:spacing w:before="100" w:beforeAutospacing="1" w:after="100" w:afterAutospacing="1"/>
    </w:pPr>
    <w:rPr>
      <w:rFonts w:ascii="Times New Roman" w:hAnsi="Times New Roman"/>
      <w:sz w:val="24"/>
    </w:rPr>
  </w:style>
  <w:style w:type="character" w:customStyle="1" w:styleId="popoverhoveritem">
    <w:name w:val="popoverhoveritem"/>
    <w:basedOn w:val="DefaultParagraphFont"/>
    <w:rsid w:val="00C96387"/>
  </w:style>
  <w:style w:type="character" w:customStyle="1" w:styleId="hgkelc">
    <w:name w:val="hgkelc"/>
    <w:basedOn w:val="DefaultParagraphFont"/>
    <w:rsid w:val="00C96387"/>
  </w:style>
  <w:style w:type="character" w:customStyle="1" w:styleId="markedcontent">
    <w:name w:val="markedcontent"/>
    <w:basedOn w:val="DefaultParagraphFont"/>
    <w:rsid w:val="00C96387"/>
  </w:style>
  <w:style w:type="character" w:customStyle="1" w:styleId="highlight">
    <w:name w:val="highlight"/>
    <w:basedOn w:val="DefaultParagraphFont"/>
    <w:rsid w:val="00C96387"/>
  </w:style>
  <w:style w:type="character" w:styleId="UnresolvedMention">
    <w:name w:val="Unresolved Mention"/>
    <w:basedOn w:val="DefaultParagraphFont"/>
    <w:uiPriority w:val="99"/>
    <w:semiHidden/>
    <w:unhideWhenUsed/>
    <w:rsid w:val="00172039"/>
    <w:rPr>
      <w:color w:val="605E5C"/>
      <w:shd w:val="clear" w:color="auto" w:fill="E1DFDD"/>
    </w:rPr>
  </w:style>
  <w:style w:type="numbering" w:customStyle="1" w:styleId="CurrentList1">
    <w:name w:val="Current List1"/>
    <w:uiPriority w:val="99"/>
    <w:rsid w:val="003627E7"/>
    <w:pPr>
      <w:numPr>
        <w:numId w:val="2"/>
      </w:numPr>
    </w:pPr>
  </w:style>
  <w:style w:type="numbering" w:customStyle="1" w:styleId="CurrentList2">
    <w:name w:val="Current List2"/>
    <w:uiPriority w:val="99"/>
    <w:rsid w:val="004E1B7C"/>
    <w:pPr>
      <w:numPr>
        <w:numId w:val="3"/>
      </w:numPr>
    </w:pPr>
  </w:style>
  <w:style w:type="character" w:styleId="PlaceholderText">
    <w:name w:val="Placeholder Text"/>
    <w:basedOn w:val="DefaultParagraphFont"/>
    <w:uiPriority w:val="99"/>
    <w:semiHidden/>
    <w:rsid w:val="00CE5DD3"/>
    <w:rPr>
      <w:color w:val="808080"/>
    </w:rPr>
  </w:style>
  <w:style w:type="character" w:styleId="PageNumber">
    <w:name w:val="page number"/>
    <w:basedOn w:val="DefaultParagraphFont"/>
    <w:uiPriority w:val="99"/>
    <w:semiHidden/>
    <w:unhideWhenUsed/>
    <w:rsid w:val="00B9409F"/>
  </w:style>
  <w:style w:type="character" w:customStyle="1" w:styleId="normaltextrun">
    <w:name w:val="normaltextrun"/>
    <w:basedOn w:val="DefaultParagraphFont"/>
    <w:rsid w:val="007D479F"/>
  </w:style>
  <w:style w:type="character" w:customStyle="1" w:styleId="eop">
    <w:name w:val="eop"/>
    <w:basedOn w:val="DefaultParagraphFont"/>
    <w:rsid w:val="007D479F"/>
  </w:style>
  <w:style w:type="paragraph" w:customStyle="1" w:styleId="paragraph">
    <w:name w:val="paragraph"/>
    <w:basedOn w:val="Normal"/>
    <w:rsid w:val="0078322B"/>
    <w:pPr>
      <w:spacing w:before="100" w:beforeAutospacing="1" w:after="100" w:afterAutospacing="1"/>
    </w:pPr>
    <w:rPr>
      <w:rFonts w:ascii="Times New Roman" w:hAnsi="Times New Roman"/>
      <w:sz w:val="24"/>
    </w:rPr>
  </w:style>
  <w:style w:type="paragraph" w:styleId="NoSpacing">
    <w:name w:val="No Spacing"/>
    <w:uiPriority w:val="1"/>
    <w:qFormat/>
    <w:rsid w:val="009778EC"/>
    <w:rPr>
      <w:rFonts w:ascii="Arial" w:hAnsi="Arial"/>
      <w:sz w:val="22"/>
      <w:szCs w:val="22"/>
    </w:rPr>
  </w:style>
  <w:style w:type="table" w:customStyle="1" w:styleId="TableGrid2">
    <w:name w:val="Table Grid2"/>
    <w:basedOn w:val="TableNormal"/>
    <w:next w:val="TableGrid"/>
    <w:uiPriority w:val="39"/>
    <w:rsid w:val="008E2FB6"/>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76E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64A5F"/>
    <w:pPr>
      <w:spacing w:after="0"/>
    </w:pPr>
    <w:rPr>
      <w:rFonts w:ascii="Calibri" w:eastAsiaTheme="minorEastAsia" w:hAnsi="Calibri" w:cs="Calibri"/>
      <w:szCs w:val="22"/>
    </w:rPr>
  </w:style>
  <w:style w:type="character" w:styleId="Emphasis">
    <w:name w:val="Emphasis"/>
    <w:basedOn w:val="DefaultParagraphFont"/>
    <w:uiPriority w:val="20"/>
    <w:qFormat/>
    <w:rsid w:val="003F10C8"/>
    <w:rPr>
      <w:i/>
      <w:iCs/>
    </w:rPr>
  </w:style>
  <w:style w:type="paragraph" w:styleId="Title">
    <w:name w:val="Title"/>
    <w:basedOn w:val="Normal"/>
    <w:link w:val="TitleChar"/>
    <w:uiPriority w:val="10"/>
    <w:qFormat/>
    <w:rsid w:val="007C0DB9"/>
    <w:pPr>
      <w:widowControl w:val="0"/>
      <w:autoSpaceDE w:val="0"/>
      <w:autoSpaceDN w:val="0"/>
      <w:spacing w:after="0" w:line="1144" w:lineRule="exact"/>
      <w:ind w:left="1"/>
      <w:jc w:val="center"/>
    </w:pPr>
    <w:rPr>
      <w:rFonts w:ascii="Arial Black" w:eastAsia="Arial Black" w:hAnsi="Arial Black" w:cs="Arial Black"/>
      <w:sz w:val="96"/>
      <w:szCs w:val="96"/>
    </w:rPr>
  </w:style>
  <w:style w:type="character" w:customStyle="1" w:styleId="TitleChar">
    <w:name w:val="Title Char"/>
    <w:basedOn w:val="DefaultParagraphFont"/>
    <w:link w:val="Title"/>
    <w:uiPriority w:val="10"/>
    <w:rsid w:val="007C0DB9"/>
    <w:rPr>
      <w:rFonts w:ascii="Arial Black" w:eastAsia="Arial Black" w:hAnsi="Arial Black" w:cs="Arial Black"/>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9178">
      <w:bodyDiv w:val="1"/>
      <w:marLeft w:val="0"/>
      <w:marRight w:val="0"/>
      <w:marTop w:val="0"/>
      <w:marBottom w:val="0"/>
      <w:divBdr>
        <w:top w:val="none" w:sz="0" w:space="0" w:color="auto"/>
        <w:left w:val="none" w:sz="0" w:space="0" w:color="auto"/>
        <w:bottom w:val="none" w:sz="0" w:space="0" w:color="auto"/>
        <w:right w:val="none" w:sz="0" w:space="0" w:color="auto"/>
      </w:divBdr>
    </w:div>
    <w:div w:id="21250761">
      <w:bodyDiv w:val="1"/>
      <w:marLeft w:val="0"/>
      <w:marRight w:val="0"/>
      <w:marTop w:val="0"/>
      <w:marBottom w:val="0"/>
      <w:divBdr>
        <w:top w:val="none" w:sz="0" w:space="0" w:color="auto"/>
        <w:left w:val="none" w:sz="0" w:space="0" w:color="auto"/>
        <w:bottom w:val="none" w:sz="0" w:space="0" w:color="auto"/>
        <w:right w:val="none" w:sz="0" w:space="0" w:color="auto"/>
      </w:divBdr>
    </w:div>
    <w:div w:id="35586122">
      <w:bodyDiv w:val="1"/>
      <w:marLeft w:val="0"/>
      <w:marRight w:val="0"/>
      <w:marTop w:val="0"/>
      <w:marBottom w:val="0"/>
      <w:divBdr>
        <w:top w:val="none" w:sz="0" w:space="0" w:color="auto"/>
        <w:left w:val="none" w:sz="0" w:space="0" w:color="auto"/>
        <w:bottom w:val="none" w:sz="0" w:space="0" w:color="auto"/>
        <w:right w:val="none" w:sz="0" w:space="0" w:color="auto"/>
      </w:divBdr>
    </w:div>
    <w:div w:id="39716455">
      <w:bodyDiv w:val="1"/>
      <w:marLeft w:val="0"/>
      <w:marRight w:val="0"/>
      <w:marTop w:val="0"/>
      <w:marBottom w:val="0"/>
      <w:divBdr>
        <w:top w:val="none" w:sz="0" w:space="0" w:color="auto"/>
        <w:left w:val="none" w:sz="0" w:space="0" w:color="auto"/>
        <w:bottom w:val="none" w:sz="0" w:space="0" w:color="auto"/>
        <w:right w:val="none" w:sz="0" w:space="0" w:color="auto"/>
      </w:divBdr>
    </w:div>
    <w:div w:id="40450085">
      <w:bodyDiv w:val="1"/>
      <w:marLeft w:val="0"/>
      <w:marRight w:val="0"/>
      <w:marTop w:val="0"/>
      <w:marBottom w:val="0"/>
      <w:divBdr>
        <w:top w:val="none" w:sz="0" w:space="0" w:color="auto"/>
        <w:left w:val="none" w:sz="0" w:space="0" w:color="auto"/>
        <w:bottom w:val="none" w:sz="0" w:space="0" w:color="auto"/>
        <w:right w:val="none" w:sz="0" w:space="0" w:color="auto"/>
      </w:divBdr>
    </w:div>
    <w:div w:id="44719278">
      <w:bodyDiv w:val="1"/>
      <w:marLeft w:val="0"/>
      <w:marRight w:val="0"/>
      <w:marTop w:val="0"/>
      <w:marBottom w:val="0"/>
      <w:divBdr>
        <w:top w:val="none" w:sz="0" w:space="0" w:color="auto"/>
        <w:left w:val="none" w:sz="0" w:space="0" w:color="auto"/>
        <w:bottom w:val="none" w:sz="0" w:space="0" w:color="auto"/>
        <w:right w:val="none" w:sz="0" w:space="0" w:color="auto"/>
      </w:divBdr>
    </w:div>
    <w:div w:id="67191363">
      <w:bodyDiv w:val="1"/>
      <w:marLeft w:val="0"/>
      <w:marRight w:val="0"/>
      <w:marTop w:val="0"/>
      <w:marBottom w:val="0"/>
      <w:divBdr>
        <w:top w:val="none" w:sz="0" w:space="0" w:color="auto"/>
        <w:left w:val="none" w:sz="0" w:space="0" w:color="auto"/>
        <w:bottom w:val="none" w:sz="0" w:space="0" w:color="auto"/>
        <w:right w:val="none" w:sz="0" w:space="0" w:color="auto"/>
      </w:divBdr>
    </w:div>
    <w:div w:id="98180015">
      <w:bodyDiv w:val="1"/>
      <w:marLeft w:val="0"/>
      <w:marRight w:val="0"/>
      <w:marTop w:val="0"/>
      <w:marBottom w:val="0"/>
      <w:divBdr>
        <w:top w:val="none" w:sz="0" w:space="0" w:color="auto"/>
        <w:left w:val="none" w:sz="0" w:space="0" w:color="auto"/>
        <w:bottom w:val="none" w:sz="0" w:space="0" w:color="auto"/>
        <w:right w:val="none" w:sz="0" w:space="0" w:color="auto"/>
      </w:divBdr>
      <w:divsChild>
        <w:div w:id="490675749">
          <w:marLeft w:val="1627"/>
          <w:marRight w:val="0"/>
          <w:marTop w:val="180"/>
          <w:marBottom w:val="0"/>
          <w:divBdr>
            <w:top w:val="none" w:sz="0" w:space="0" w:color="auto"/>
            <w:left w:val="none" w:sz="0" w:space="0" w:color="auto"/>
            <w:bottom w:val="none" w:sz="0" w:space="0" w:color="auto"/>
            <w:right w:val="none" w:sz="0" w:space="0" w:color="auto"/>
          </w:divBdr>
        </w:div>
        <w:div w:id="1138573843">
          <w:marLeft w:val="1627"/>
          <w:marRight w:val="0"/>
          <w:marTop w:val="180"/>
          <w:marBottom w:val="0"/>
          <w:divBdr>
            <w:top w:val="none" w:sz="0" w:space="0" w:color="auto"/>
            <w:left w:val="none" w:sz="0" w:space="0" w:color="auto"/>
            <w:bottom w:val="none" w:sz="0" w:space="0" w:color="auto"/>
            <w:right w:val="none" w:sz="0" w:space="0" w:color="auto"/>
          </w:divBdr>
        </w:div>
        <w:div w:id="1314338202">
          <w:marLeft w:val="1627"/>
          <w:marRight w:val="0"/>
          <w:marTop w:val="180"/>
          <w:marBottom w:val="0"/>
          <w:divBdr>
            <w:top w:val="none" w:sz="0" w:space="0" w:color="auto"/>
            <w:left w:val="none" w:sz="0" w:space="0" w:color="auto"/>
            <w:bottom w:val="none" w:sz="0" w:space="0" w:color="auto"/>
            <w:right w:val="none" w:sz="0" w:space="0" w:color="auto"/>
          </w:divBdr>
        </w:div>
        <w:div w:id="1329750861">
          <w:marLeft w:val="1627"/>
          <w:marRight w:val="0"/>
          <w:marTop w:val="180"/>
          <w:marBottom w:val="0"/>
          <w:divBdr>
            <w:top w:val="none" w:sz="0" w:space="0" w:color="auto"/>
            <w:left w:val="none" w:sz="0" w:space="0" w:color="auto"/>
            <w:bottom w:val="none" w:sz="0" w:space="0" w:color="auto"/>
            <w:right w:val="none" w:sz="0" w:space="0" w:color="auto"/>
          </w:divBdr>
        </w:div>
      </w:divsChild>
    </w:div>
    <w:div w:id="213808672">
      <w:bodyDiv w:val="1"/>
      <w:marLeft w:val="0"/>
      <w:marRight w:val="0"/>
      <w:marTop w:val="0"/>
      <w:marBottom w:val="0"/>
      <w:divBdr>
        <w:top w:val="none" w:sz="0" w:space="0" w:color="auto"/>
        <w:left w:val="none" w:sz="0" w:space="0" w:color="auto"/>
        <w:bottom w:val="none" w:sz="0" w:space="0" w:color="auto"/>
        <w:right w:val="none" w:sz="0" w:space="0" w:color="auto"/>
      </w:divBdr>
    </w:div>
    <w:div w:id="216626424">
      <w:bodyDiv w:val="1"/>
      <w:marLeft w:val="0"/>
      <w:marRight w:val="0"/>
      <w:marTop w:val="0"/>
      <w:marBottom w:val="0"/>
      <w:divBdr>
        <w:top w:val="none" w:sz="0" w:space="0" w:color="auto"/>
        <w:left w:val="none" w:sz="0" w:space="0" w:color="auto"/>
        <w:bottom w:val="none" w:sz="0" w:space="0" w:color="auto"/>
        <w:right w:val="none" w:sz="0" w:space="0" w:color="auto"/>
      </w:divBdr>
    </w:div>
    <w:div w:id="234046343">
      <w:bodyDiv w:val="1"/>
      <w:marLeft w:val="0"/>
      <w:marRight w:val="0"/>
      <w:marTop w:val="0"/>
      <w:marBottom w:val="0"/>
      <w:divBdr>
        <w:top w:val="none" w:sz="0" w:space="0" w:color="auto"/>
        <w:left w:val="none" w:sz="0" w:space="0" w:color="auto"/>
        <w:bottom w:val="none" w:sz="0" w:space="0" w:color="auto"/>
        <w:right w:val="none" w:sz="0" w:space="0" w:color="auto"/>
      </w:divBdr>
    </w:div>
    <w:div w:id="234317721">
      <w:bodyDiv w:val="1"/>
      <w:marLeft w:val="0"/>
      <w:marRight w:val="0"/>
      <w:marTop w:val="0"/>
      <w:marBottom w:val="0"/>
      <w:divBdr>
        <w:top w:val="none" w:sz="0" w:space="0" w:color="auto"/>
        <w:left w:val="none" w:sz="0" w:space="0" w:color="auto"/>
        <w:bottom w:val="none" w:sz="0" w:space="0" w:color="auto"/>
        <w:right w:val="none" w:sz="0" w:space="0" w:color="auto"/>
      </w:divBdr>
    </w:div>
    <w:div w:id="250547423">
      <w:bodyDiv w:val="1"/>
      <w:marLeft w:val="0"/>
      <w:marRight w:val="0"/>
      <w:marTop w:val="0"/>
      <w:marBottom w:val="0"/>
      <w:divBdr>
        <w:top w:val="none" w:sz="0" w:space="0" w:color="auto"/>
        <w:left w:val="none" w:sz="0" w:space="0" w:color="auto"/>
        <w:bottom w:val="none" w:sz="0" w:space="0" w:color="auto"/>
        <w:right w:val="none" w:sz="0" w:space="0" w:color="auto"/>
      </w:divBdr>
    </w:div>
    <w:div w:id="251083873">
      <w:bodyDiv w:val="1"/>
      <w:marLeft w:val="0"/>
      <w:marRight w:val="0"/>
      <w:marTop w:val="0"/>
      <w:marBottom w:val="0"/>
      <w:divBdr>
        <w:top w:val="none" w:sz="0" w:space="0" w:color="auto"/>
        <w:left w:val="none" w:sz="0" w:space="0" w:color="auto"/>
        <w:bottom w:val="none" w:sz="0" w:space="0" w:color="auto"/>
        <w:right w:val="none" w:sz="0" w:space="0" w:color="auto"/>
      </w:divBdr>
      <w:divsChild>
        <w:div w:id="29183107">
          <w:marLeft w:val="1627"/>
          <w:marRight w:val="0"/>
          <w:marTop w:val="150"/>
          <w:marBottom w:val="0"/>
          <w:divBdr>
            <w:top w:val="none" w:sz="0" w:space="0" w:color="auto"/>
            <w:left w:val="none" w:sz="0" w:space="0" w:color="auto"/>
            <w:bottom w:val="none" w:sz="0" w:space="0" w:color="auto"/>
            <w:right w:val="none" w:sz="0" w:space="0" w:color="auto"/>
          </w:divBdr>
        </w:div>
        <w:div w:id="369382762">
          <w:marLeft w:val="1627"/>
          <w:marRight w:val="0"/>
          <w:marTop w:val="150"/>
          <w:marBottom w:val="0"/>
          <w:divBdr>
            <w:top w:val="none" w:sz="0" w:space="0" w:color="auto"/>
            <w:left w:val="none" w:sz="0" w:space="0" w:color="auto"/>
            <w:bottom w:val="none" w:sz="0" w:space="0" w:color="auto"/>
            <w:right w:val="none" w:sz="0" w:space="0" w:color="auto"/>
          </w:divBdr>
        </w:div>
        <w:div w:id="541288305">
          <w:marLeft w:val="1627"/>
          <w:marRight w:val="0"/>
          <w:marTop w:val="150"/>
          <w:marBottom w:val="0"/>
          <w:divBdr>
            <w:top w:val="none" w:sz="0" w:space="0" w:color="auto"/>
            <w:left w:val="none" w:sz="0" w:space="0" w:color="auto"/>
            <w:bottom w:val="none" w:sz="0" w:space="0" w:color="auto"/>
            <w:right w:val="none" w:sz="0" w:space="0" w:color="auto"/>
          </w:divBdr>
        </w:div>
        <w:div w:id="1180581235">
          <w:marLeft w:val="1627"/>
          <w:marRight w:val="0"/>
          <w:marTop w:val="150"/>
          <w:marBottom w:val="0"/>
          <w:divBdr>
            <w:top w:val="none" w:sz="0" w:space="0" w:color="auto"/>
            <w:left w:val="none" w:sz="0" w:space="0" w:color="auto"/>
            <w:bottom w:val="none" w:sz="0" w:space="0" w:color="auto"/>
            <w:right w:val="none" w:sz="0" w:space="0" w:color="auto"/>
          </w:divBdr>
        </w:div>
        <w:div w:id="1283611984">
          <w:marLeft w:val="1627"/>
          <w:marRight w:val="0"/>
          <w:marTop w:val="150"/>
          <w:marBottom w:val="0"/>
          <w:divBdr>
            <w:top w:val="none" w:sz="0" w:space="0" w:color="auto"/>
            <w:left w:val="none" w:sz="0" w:space="0" w:color="auto"/>
            <w:bottom w:val="none" w:sz="0" w:space="0" w:color="auto"/>
            <w:right w:val="none" w:sz="0" w:space="0" w:color="auto"/>
          </w:divBdr>
        </w:div>
      </w:divsChild>
    </w:div>
    <w:div w:id="253707973">
      <w:bodyDiv w:val="1"/>
      <w:marLeft w:val="0"/>
      <w:marRight w:val="0"/>
      <w:marTop w:val="0"/>
      <w:marBottom w:val="0"/>
      <w:divBdr>
        <w:top w:val="none" w:sz="0" w:space="0" w:color="auto"/>
        <w:left w:val="none" w:sz="0" w:space="0" w:color="auto"/>
        <w:bottom w:val="none" w:sz="0" w:space="0" w:color="auto"/>
        <w:right w:val="none" w:sz="0" w:space="0" w:color="auto"/>
      </w:divBdr>
      <w:divsChild>
        <w:div w:id="423455985">
          <w:marLeft w:val="1627"/>
          <w:marRight w:val="0"/>
          <w:marTop w:val="150"/>
          <w:marBottom w:val="0"/>
          <w:divBdr>
            <w:top w:val="none" w:sz="0" w:space="0" w:color="auto"/>
            <w:left w:val="none" w:sz="0" w:space="0" w:color="auto"/>
            <w:bottom w:val="none" w:sz="0" w:space="0" w:color="auto"/>
            <w:right w:val="none" w:sz="0" w:space="0" w:color="auto"/>
          </w:divBdr>
        </w:div>
        <w:div w:id="1137145017">
          <w:marLeft w:val="1627"/>
          <w:marRight w:val="0"/>
          <w:marTop w:val="150"/>
          <w:marBottom w:val="0"/>
          <w:divBdr>
            <w:top w:val="none" w:sz="0" w:space="0" w:color="auto"/>
            <w:left w:val="none" w:sz="0" w:space="0" w:color="auto"/>
            <w:bottom w:val="none" w:sz="0" w:space="0" w:color="auto"/>
            <w:right w:val="none" w:sz="0" w:space="0" w:color="auto"/>
          </w:divBdr>
        </w:div>
      </w:divsChild>
    </w:div>
    <w:div w:id="287785338">
      <w:bodyDiv w:val="1"/>
      <w:marLeft w:val="0"/>
      <w:marRight w:val="0"/>
      <w:marTop w:val="0"/>
      <w:marBottom w:val="0"/>
      <w:divBdr>
        <w:top w:val="none" w:sz="0" w:space="0" w:color="auto"/>
        <w:left w:val="none" w:sz="0" w:space="0" w:color="auto"/>
        <w:bottom w:val="none" w:sz="0" w:space="0" w:color="auto"/>
        <w:right w:val="none" w:sz="0" w:space="0" w:color="auto"/>
      </w:divBdr>
    </w:div>
    <w:div w:id="302465808">
      <w:bodyDiv w:val="1"/>
      <w:marLeft w:val="0"/>
      <w:marRight w:val="0"/>
      <w:marTop w:val="0"/>
      <w:marBottom w:val="0"/>
      <w:divBdr>
        <w:top w:val="none" w:sz="0" w:space="0" w:color="auto"/>
        <w:left w:val="none" w:sz="0" w:space="0" w:color="auto"/>
        <w:bottom w:val="none" w:sz="0" w:space="0" w:color="auto"/>
        <w:right w:val="none" w:sz="0" w:space="0" w:color="auto"/>
      </w:divBdr>
    </w:div>
    <w:div w:id="341511143">
      <w:bodyDiv w:val="1"/>
      <w:marLeft w:val="0"/>
      <w:marRight w:val="0"/>
      <w:marTop w:val="0"/>
      <w:marBottom w:val="0"/>
      <w:divBdr>
        <w:top w:val="none" w:sz="0" w:space="0" w:color="auto"/>
        <w:left w:val="none" w:sz="0" w:space="0" w:color="auto"/>
        <w:bottom w:val="none" w:sz="0" w:space="0" w:color="auto"/>
        <w:right w:val="none" w:sz="0" w:space="0" w:color="auto"/>
      </w:divBdr>
    </w:div>
    <w:div w:id="356277846">
      <w:bodyDiv w:val="1"/>
      <w:marLeft w:val="0"/>
      <w:marRight w:val="0"/>
      <w:marTop w:val="0"/>
      <w:marBottom w:val="0"/>
      <w:divBdr>
        <w:top w:val="none" w:sz="0" w:space="0" w:color="auto"/>
        <w:left w:val="none" w:sz="0" w:space="0" w:color="auto"/>
        <w:bottom w:val="none" w:sz="0" w:space="0" w:color="auto"/>
        <w:right w:val="none" w:sz="0" w:space="0" w:color="auto"/>
      </w:divBdr>
    </w:div>
    <w:div w:id="361058238">
      <w:bodyDiv w:val="1"/>
      <w:marLeft w:val="0"/>
      <w:marRight w:val="0"/>
      <w:marTop w:val="0"/>
      <w:marBottom w:val="0"/>
      <w:divBdr>
        <w:top w:val="none" w:sz="0" w:space="0" w:color="auto"/>
        <w:left w:val="none" w:sz="0" w:space="0" w:color="auto"/>
        <w:bottom w:val="none" w:sz="0" w:space="0" w:color="auto"/>
        <w:right w:val="none" w:sz="0" w:space="0" w:color="auto"/>
      </w:divBdr>
    </w:div>
    <w:div w:id="363294098">
      <w:bodyDiv w:val="1"/>
      <w:marLeft w:val="0"/>
      <w:marRight w:val="0"/>
      <w:marTop w:val="0"/>
      <w:marBottom w:val="0"/>
      <w:divBdr>
        <w:top w:val="none" w:sz="0" w:space="0" w:color="auto"/>
        <w:left w:val="none" w:sz="0" w:space="0" w:color="auto"/>
        <w:bottom w:val="none" w:sz="0" w:space="0" w:color="auto"/>
        <w:right w:val="none" w:sz="0" w:space="0" w:color="auto"/>
      </w:divBdr>
    </w:div>
    <w:div w:id="379284501">
      <w:bodyDiv w:val="1"/>
      <w:marLeft w:val="0"/>
      <w:marRight w:val="0"/>
      <w:marTop w:val="0"/>
      <w:marBottom w:val="0"/>
      <w:divBdr>
        <w:top w:val="none" w:sz="0" w:space="0" w:color="auto"/>
        <w:left w:val="none" w:sz="0" w:space="0" w:color="auto"/>
        <w:bottom w:val="none" w:sz="0" w:space="0" w:color="auto"/>
        <w:right w:val="none" w:sz="0" w:space="0" w:color="auto"/>
      </w:divBdr>
    </w:div>
    <w:div w:id="388841972">
      <w:bodyDiv w:val="1"/>
      <w:marLeft w:val="0"/>
      <w:marRight w:val="0"/>
      <w:marTop w:val="0"/>
      <w:marBottom w:val="0"/>
      <w:divBdr>
        <w:top w:val="none" w:sz="0" w:space="0" w:color="auto"/>
        <w:left w:val="none" w:sz="0" w:space="0" w:color="auto"/>
        <w:bottom w:val="none" w:sz="0" w:space="0" w:color="auto"/>
        <w:right w:val="none" w:sz="0" w:space="0" w:color="auto"/>
      </w:divBdr>
    </w:div>
    <w:div w:id="435490130">
      <w:bodyDiv w:val="1"/>
      <w:marLeft w:val="0"/>
      <w:marRight w:val="0"/>
      <w:marTop w:val="0"/>
      <w:marBottom w:val="0"/>
      <w:divBdr>
        <w:top w:val="none" w:sz="0" w:space="0" w:color="auto"/>
        <w:left w:val="none" w:sz="0" w:space="0" w:color="auto"/>
        <w:bottom w:val="none" w:sz="0" w:space="0" w:color="auto"/>
        <w:right w:val="none" w:sz="0" w:space="0" w:color="auto"/>
      </w:divBdr>
    </w:div>
    <w:div w:id="475223105">
      <w:bodyDiv w:val="1"/>
      <w:marLeft w:val="0"/>
      <w:marRight w:val="0"/>
      <w:marTop w:val="0"/>
      <w:marBottom w:val="0"/>
      <w:divBdr>
        <w:top w:val="none" w:sz="0" w:space="0" w:color="auto"/>
        <w:left w:val="none" w:sz="0" w:space="0" w:color="auto"/>
        <w:bottom w:val="none" w:sz="0" w:space="0" w:color="auto"/>
        <w:right w:val="none" w:sz="0" w:space="0" w:color="auto"/>
      </w:divBdr>
    </w:div>
    <w:div w:id="476146373">
      <w:bodyDiv w:val="1"/>
      <w:marLeft w:val="0"/>
      <w:marRight w:val="0"/>
      <w:marTop w:val="0"/>
      <w:marBottom w:val="0"/>
      <w:divBdr>
        <w:top w:val="none" w:sz="0" w:space="0" w:color="auto"/>
        <w:left w:val="none" w:sz="0" w:space="0" w:color="auto"/>
        <w:bottom w:val="none" w:sz="0" w:space="0" w:color="auto"/>
        <w:right w:val="none" w:sz="0" w:space="0" w:color="auto"/>
      </w:divBdr>
      <w:divsChild>
        <w:div w:id="375356111">
          <w:marLeft w:val="1627"/>
          <w:marRight w:val="0"/>
          <w:marTop w:val="180"/>
          <w:marBottom w:val="0"/>
          <w:divBdr>
            <w:top w:val="none" w:sz="0" w:space="0" w:color="auto"/>
            <w:left w:val="none" w:sz="0" w:space="0" w:color="auto"/>
            <w:bottom w:val="none" w:sz="0" w:space="0" w:color="auto"/>
            <w:right w:val="none" w:sz="0" w:space="0" w:color="auto"/>
          </w:divBdr>
        </w:div>
        <w:div w:id="547188700">
          <w:marLeft w:val="1627"/>
          <w:marRight w:val="0"/>
          <w:marTop w:val="180"/>
          <w:marBottom w:val="0"/>
          <w:divBdr>
            <w:top w:val="none" w:sz="0" w:space="0" w:color="auto"/>
            <w:left w:val="none" w:sz="0" w:space="0" w:color="auto"/>
            <w:bottom w:val="none" w:sz="0" w:space="0" w:color="auto"/>
            <w:right w:val="none" w:sz="0" w:space="0" w:color="auto"/>
          </w:divBdr>
        </w:div>
        <w:div w:id="997031028">
          <w:marLeft w:val="1627"/>
          <w:marRight w:val="0"/>
          <w:marTop w:val="180"/>
          <w:marBottom w:val="0"/>
          <w:divBdr>
            <w:top w:val="none" w:sz="0" w:space="0" w:color="auto"/>
            <w:left w:val="none" w:sz="0" w:space="0" w:color="auto"/>
            <w:bottom w:val="none" w:sz="0" w:space="0" w:color="auto"/>
            <w:right w:val="none" w:sz="0" w:space="0" w:color="auto"/>
          </w:divBdr>
        </w:div>
        <w:div w:id="1870100492">
          <w:marLeft w:val="1627"/>
          <w:marRight w:val="0"/>
          <w:marTop w:val="180"/>
          <w:marBottom w:val="0"/>
          <w:divBdr>
            <w:top w:val="none" w:sz="0" w:space="0" w:color="auto"/>
            <w:left w:val="none" w:sz="0" w:space="0" w:color="auto"/>
            <w:bottom w:val="none" w:sz="0" w:space="0" w:color="auto"/>
            <w:right w:val="none" w:sz="0" w:space="0" w:color="auto"/>
          </w:divBdr>
        </w:div>
        <w:div w:id="2099978666">
          <w:marLeft w:val="1627"/>
          <w:marRight w:val="0"/>
          <w:marTop w:val="180"/>
          <w:marBottom w:val="0"/>
          <w:divBdr>
            <w:top w:val="none" w:sz="0" w:space="0" w:color="auto"/>
            <w:left w:val="none" w:sz="0" w:space="0" w:color="auto"/>
            <w:bottom w:val="none" w:sz="0" w:space="0" w:color="auto"/>
            <w:right w:val="none" w:sz="0" w:space="0" w:color="auto"/>
          </w:divBdr>
        </w:div>
        <w:div w:id="2124154503">
          <w:marLeft w:val="1627"/>
          <w:marRight w:val="0"/>
          <w:marTop w:val="180"/>
          <w:marBottom w:val="0"/>
          <w:divBdr>
            <w:top w:val="none" w:sz="0" w:space="0" w:color="auto"/>
            <w:left w:val="none" w:sz="0" w:space="0" w:color="auto"/>
            <w:bottom w:val="none" w:sz="0" w:space="0" w:color="auto"/>
            <w:right w:val="none" w:sz="0" w:space="0" w:color="auto"/>
          </w:divBdr>
        </w:div>
      </w:divsChild>
    </w:div>
    <w:div w:id="480538314">
      <w:bodyDiv w:val="1"/>
      <w:marLeft w:val="0"/>
      <w:marRight w:val="0"/>
      <w:marTop w:val="0"/>
      <w:marBottom w:val="0"/>
      <w:divBdr>
        <w:top w:val="none" w:sz="0" w:space="0" w:color="auto"/>
        <w:left w:val="none" w:sz="0" w:space="0" w:color="auto"/>
        <w:bottom w:val="none" w:sz="0" w:space="0" w:color="auto"/>
        <w:right w:val="none" w:sz="0" w:space="0" w:color="auto"/>
      </w:divBdr>
    </w:div>
    <w:div w:id="520316119">
      <w:bodyDiv w:val="1"/>
      <w:marLeft w:val="0"/>
      <w:marRight w:val="0"/>
      <w:marTop w:val="0"/>
      <w:marBottom w:val="0"/>
      <w:divBdr>
        <w:top w:val="none" w:sz="0" w:space="0" w:color="auto"/>
        <w:left w:val="none" w:sz="0" w:space="0" w:color="auto"/>
        <w:bottom w:val="none" w:sz="0" w:space="0" w:color="auto"/>
        <w:right w:val="none" w:sz="0" w:space="0" w:color="auto"/>
      </w:divBdr>
      <w:divsChild>
        <w:div w:id="164395408">
          <w:marLeft w:val="547"/>
          <w:marRight w:val="0"/>
          <w:marTop w:val="300"/>
          <w:marBottom w:val="0"/>
          <w:divBdr>
            <w:top w:val="none" w:sz="0" w:space="0" w:color="auto"/>
            <w:left w:val="none" w:sz="0" w:space="0" w:color="auto"/>
            <w:bottom w:val="none" w:sz="0" w:space="0" w:color="auto"/>
            <w:right w:val="none" w:sz="0" w:space="0" w:color="auto"/>
          </w:divBdr>
        </w:div>
        <w:div w:id="1104111847">
          <w:marLeft w:val="547"/>
          <w:marRight w:val="0"/>
          <w:marTop w:val="300"/>
          <w:marBottom w:val="0"/>
          <w:divBdr>
            <w:top w:val="none" w:sz="0" w:space="0" w:color="auto"/>
            <w:left w:val="none" w:sz="0" w:space="0" w:color="auto"/>
            <w:bottom w:val="none" w:sz="0" w:space="0" w:color="auto"/>
            <w:right w:val="none" w:sz="0" w:space="0" w:color="auto"/>
          </w:divBdr>
        </w:div>
        <w:div w:id="1187060392">
          <w:marLeft w:val="547"/>
          <w:marRight w:val="0"/>
          <w:marTop w:val="300"/>
          <w:marBottom w:val="0"/>
          <w:divBdr>
            <w:top w:val="none" w:sz="0" w:space="0" w:color="auto"/>
            <w:left w:val="none" w:sz="0" w:space="0" w:color="auto"/>
            <w:bottom w:val="none" w:sz="0" w:space="0" w:color="auto"/>
            <w:right w:val="none" w:sz="0" w:space="0" w:color="auto"/>
          </w:divBdr>
        </w:div>
        <w:div w:id="1189173105">
          <w:marLeft w:val="547"/>
          <w:marRight w:val="0"/>
          <w:marTop w:val="300"/>
          <w:marBottom w:val="0"/>
          <w:divBdr>
            <w:top w:val="none" w:sz="0" w:space="0" w:color="auto"/>
            <w:left w:val="none" w:sz="0" w:space="0" w:color="auto"/>
            <w:bottom w:val="none" w:sz="0" w:space="0" w:color="auto"/>
            <w:right w:val="none" w:sz="0" w:space="0" w:color="auto"/>
          </w:divBdr>
        </w:div>
        <w:div w:id="1214925955">
          <w:marLeft w:val="547"/>
          <w:marRight w:val="0"/>
          <w:marTop w:val="300"/>
          <w:marBottom w:val="0"/>
          <w:divBdr>
            <w:top w:val="none" w:sz="0" w:space="0" w:color="auto"/>
            <w:left w:val="none" w:sz="0" w:space="0" w:color="auto"/>
            <w:bottom w:val="none" w:sz="0" w:space="0" w:color="auto"/>
            <w:right w:val="none" w:sz="0" w:space="0" w:color="auto"/>
          </w:divBdr>
        </w:div>
        <w:div w:id="1534659387">
          <w:marLeft w:val="547"/>
          <w:marRight w:val="0"/>
          <w:marTop w:val="300"/>
          <w:marBottom w:val="0"/>
          <w:divBdr>
            <w:top w:val="none" w:sz="0" w:space="0" w:color="auto"/>
            <w:left w:val="none" w:sz="0" w:space="0" w:color="auto"/>
            <w:bottom w:val="none" w:sz="0" w:space="0" w:color="auto"/>
            <w:right w:val="none" w:sz="0" w:space="0" w:color="auto"/>
          </w:divBdr>
        </w:div>
        <w:div w:id="1623681695">
          <w:marLeft w:val="547"/>
          <w:marRight w:val="0"/>
          <w:marTop w:val="300"/>
          <w:marBottom w:val="0"/>
          <w:divBdr>
            <w:top w:val="none" w:sz="0" w:space="0" w:color="auto"/>
            <w:left w:val="none" w:sz="0" w:space="0" w:color="auto"/>
            <w:bottom w:val="none" w:sz="0" w:space="0" w:color="auto"/>
            <w:right w:val="none" w:sz="0" w:space="0" w:color="auto"/>
          </w:divBdr>
        </w:div>
        <w:div w:id="1716466631">
          <w:marLeft w:val="547"/>
          <w:marRight w:val="0"/>
          <w:marTop w:val="300"/>
          <w:marBottom w:val="0"/>
          <w:divBdr>
            <w:top w:val="none" w:sz="0" w:space="0" w:color="auto"/>
            <w:left w:val="none" w:sz="0" w:space="0" w:color="auto"/>
            <w:bottom w:val="none" w:sz="0" w:space="0" w:color="auto"/>
            <w:right w:val="none" w:sz="0" w:space="0" w:color="auto"/>
          </w:divBdr>
        </w:div>
        <w:div w:id="1864706058">
          <w:marLeft w:val="547"/>
          <w:marRight w:val="0"/>
          <w:marTop w:val="300"/>
          <w:marBottom w:val="0"/>
          <w:divBdr>
            <w:top w:val="none" w:sz="0" w:space="0" w:color="auto"/>
            <w:left w:val="none" w:sz="0" w:space="0" w:color="auto"/>
            <w:bottom w:val="none" w:sz="0" w:space="0" w:color="auto"/>
            <w:right w:val="none" w:sz="0" w:space="0" w:color="auto"/>
          </w:divBdr>
        </w:div>
        <w:div w:id="2038191310">
          <w:marLeft w:val="547"/>
          <w:marRight w:val="0"/>
          <w:marTop w:val="300"/>
          <w:marBottom w:val="0"/>
          <w:divBdr>
            <w:top w:val="none" w:sz="0" w:space="0" w:color="auto"/>
            <w:left w:val="none" w:sz="0" w:space="0" w:color="auto"/>
            <w:bottom w:val="none" w:sz="0" w:space="0" w:color="auto"/>
            <w:right w:val="none" w:sz="0" w:space="0" w:color="auto"/>
          </w:divBdr>
        </w:div>
      </w:divsChild>
    </w:div>
    <w:div w:id="521940038">
      <w:bodyDiv w:val="1"/>
      <w:marLeft w:val="0"/>
      <w:marRight w:val="0"/>
      <w:marTop w:val="0"/>
      <w:marBottom w:val="0"/>
      <w:divBdr>
        <w:top w:val="none" w:sz="0" w:space="0" w:color="auto"/>
        <w:left w:val="none" w:sz="0" w:space="0" w:color="auto"/>
        <w:bottom w:val="none" w:sz="0" w:space="0" w:color="auto"/>
        <w:right w:val="none" w:sz="0" w:space="0" w:color="auto"/>
      </w:divBdr>
    </w:div>
    <w:div w:id="562642481">
      <w:bodyDiv w:val="1"/>
      <w:marLeft w:val="0"/>
      <w:marRight w:val="0"/>
      <w:marTop w:val="0"/>
      <w:marBottom w:val="0"/>
      <w:divBdr>
        <w:top w:val="none" w:sz="0" w:space="0" w:color="auto"/>
        <w:left w:val="none" w:sz="0" w:space="0" w:color="auto"/>
        <w:bottom w:val="none" w:sz="0" w:space="0" w:color="auto"/>
        <w:right w:val="none" w:sz="0" w:space="0" w:color="auto"/>
      </w:divBdr>
    </w:div>
    <w:div w:id="566647137">
      <w:bodyDiv w:val="1"/>
      <w:marLeft w:val="0"/>
      <w:marRight w:val="0"/>
      <w:marTop w:val="0"/>
      <w:marBottom w:val="0"/>
      <w:divBdr>
        <w:top w:val="none" w:sz="0" w:space="0" w:color="auto"/>
        <w:left w:val="none" w:sz="0" w:space="0" w:color="auto"/>
        <w:bottom w:val="none" w:sz="0" w:space="0" w:color="auto"/>
        <w:right w:val="none" w:sz="0" w:space="0" w:color="auto"/>
      </w:divBdr>
    </w:div>
    <w:div w:id="582177554">
      <w:bodyDiv w:val="1"/>
      <w:marLeft w:val="0"/>
      <w:marRight w:val="0"/>
      <w:marTop w:val="0"/>
      <w:marBottom w:val="0"/>
      <w:divBdr>
        <w:top w:val="none" w:sz="0" w:space="0" w:color="auto"/>
        <w:left w:val="none" w:sz="0" w:space="0" w:color="auto"/>
        <w:bottom w:val="none" w:sz="0" w:space="0" w:color="auto"/>
        <w:right w:val="none" w:sz="0" w:space="0" w:color="auto"/>
      </w:divBdr>
    </w:div>
    <w:div w:id="601038032">
      <w:bodyDiv w:val="1"/>
      <w:marLeft w:val="0"/>
      <w:marRight w:val="0"/>
      <w:marTop w:val="0"/>
      <w:marBottom w:val="0"/>
      <w:divBdr>
        <w:top w:val="none" w:sz="0" w:space="0" w:color="auto"/>
        <w:left w:val="none" w:sz="0" w:space="0" w:color="auto"/>
        <w:bottom w:val="none" w:sz="0" w:space="0" w:color="auto"/>
        <w:right w:val="none" w:sz="0" w:space="0" w:color="auto"/>
      </w:divBdr>
    </w:div>
    <w:div w:id="639072856">
      <w:bodyDiv w:val="1"/>
      <w:marLeft w:val="0"/>
      <w:marRight w:val="0"/>
      <w:marTop w:val="0"/>
      <w:marBottom w:val="0"/>
      <w:divBdr>
        <w:top w:val="none" w:sz="0" w:space="0" w:color="auto"/>
        <w:left w:val="none" w:sz="0" w:space="0" w:color="auto"/>
        <w:bottom w:val="none" w:sz="0" w:space="0" w:color="auto"/>
        <w:right w:val="none" w:sz="0" w:space="0" w:color="auto"/>
      </w:divBdr>
      <w:divsChild>
        <w:div w:id="246693191">
          <w:marLeft w:val="1627"/>
          <w:marRight w:val="0"/>
          <w:marTop w:val="150"/>
          <w:marBottom w:val="0"/>
          <w:divBdr>
            <w:top w:val="none" w:sz="0" w:space="0" w:color="auto"/>
            <w:left w:val="none" w:sz="0" w:space="0" w:color="auto"/>
            <w:bottom w:val="none" w:sz="0" w:space="0" w:color="auto"/>
            <w:right w:val="none" w:sz="0" w:space="0" w:color="auto"/>
          </w:divBdr>
        </w:div>
        <w:div w:id="829172803">
          <w:marLeft w:val="1627"/>
          <w:marRight w:val="0"/>
          <w:marTop w:val="150"/>
          <w:marBottom w:val="0"/>
          <w:divBdr>
            <w:top w:val="none" w:sz="0" w:space="0" w:color="auto"/>
            <w:left w:val="none" w:sz="0" w:space="0" w:color="auto"/>
            <w:bottom w:val="none" w:sz="0" w:space="0" w:color="auto"/>
            <w:right w:val="none" w:sz="0" w:space="0" w:color="auto"/>
          </w:divBdr>
        </w:div>
        <w:div w:id="1040016486">
          <w:marLeft w:val="1627"/>
          <w:marRight w:val="0"/>
          <w:marTop w:val="150"/>
          <w:marBottom w:val="0"/>
          <w:divBdr>
            <w:top w:val="none" w:sz="0" w:space="0" w:color="auto"/>
            <w:left w:val="none" w:sz="0" w:space="0" w:color="auto"/>
            <w:bottom w:val="none" w:sz="0" w:space="0" w:color="auto"/>
            <w:right w:val="none" w:sz="0" w:space="0" w:color="auto"/>
          </w:divBdr>
        </w:div>
      </w:divsChild>
    </w:div>
    <w:div w:id="644626570">
      <w:bodyDiv w:val="1"/>
      <w:marLeft w:val="0"/>
      <w:marRight w:val="0"/>
      <w:marTop w:val="0"/>
      <w:marBottom w:val="0"/>
      <w:divBdr>
        <w:top w:val="none" w:sz="0" w:space="0" w:color="auto"/>
        <w:left w:val="none" w:sz="0" w:space="0" w:color="auto"/>
        <w:bottom w:val="none" w:sz="0" w:space="0" w:color="auto"/>
        <w:right w:val="none" w:sz="0" w:space="0" w:color="auto"/>
      </w:divBdr>
    </w:div>
    <w:div w:id="645016273">
      <w:bodyDiv w:val="1"/>
      <w:marLeft w:val="0"/>
      <w:marRight w:val="0"/>
      <w:marTop w:val="0"/>
      <w:marBottom w:val="0"/>
      <w:divBdr>
        <w:top w:val="none" w:sz="0" w:space="0" w:color="auto"/>
        <w:left w:val="none" w:sz="0" w:space="0" w:color="auto"/>
        <w:bottom w:val="none" w:sz="0" w:space="0" w:color="auto"/>
        <w:right w:val="none" w:sz="0" w:space="0" w:color="auto"/>
      </w:divBdr>
    </w:div>
    <w:div w:id="646055727">
      <w:bodyDiv w:val="1"/>
      <w:marLeft w:val="0"/>
      <w:marRight w:val="0"/>
      <w:marTop w:val="0"/>
      <w:marBottom w:val="0"/>
      <w:divBdr>
        <w:top w:val="none" w:sz="0" w:space="0" w:color="auto"/>
        <w:left w:val="none" w:sz="0" w:space="0" w:color="auto"/>
        <w:bottom w:val="none" w:sz="0" w:space="0" w:color="auto"/>
        <w:right w:val="none" w:sz="0" w:space="0" w:color="auto"/>
      </w:divBdr>
    </w:div>
    <w:div w:id="655302564">
      <w:bodyDiv w:val="1"/>
      <w:marLeft w:val="0"/>
      <w:marRight w:val="0"/>
      <w:marTop w:val="0"/>
      <w:marBottom w:val="0"/>
      <w:divBdr>
        <w:top w:val="none" w:sz="0" w:space="0" w:color="auto"/>
        <w:left w:val="none" w:sz="0" w:space="0" w:color="auto"/>
        <w:bottom w:val="none" w:sz="0" w:space="0" w:color="auto"/>
        <w:right w:val="none" w:sz="0" w:space="0" w:color="auto"/>
      </w:divBdr>
    </w:div>
    <w:div w:id="661391917">
      <w:bodyDiv w:val="1"/>
      <w:marLeft w:val="0"/>
      <w:marRight w:val="0"/>
      <w:marTop w:val="0"/>
      <w:marBottom w:val="0"/>
      <w:divBdr>
        <w:top w:val="none" w:sz="0" w:space="0" w:color="auto"/>
        <w:left w:val="none" w:sz="0" w:space="0" w:color="auto"/>
        <w:bottom w:val="none" w:sz="0" w:space="0" w:color="auto"/>
        <w:right w:val="none" w:sz="0" w:space="0" w:color="auto"/>
      </w:divBdr>
    </w:div>
    <w:div w:id="661933202">
      <w:bodyDiv w:val="1"/>
      <w:marLeft w:val="0"/>
      <w:marRight w:val="0"/>
      <w:marTop w:val="0"/>
      <w:marBottom w:val="0"/>
      <w:divBdr>
        <w:top w:val="none" w:sz="0" w:space="0" w:color="auto"/>
        <w:left w:val="none" w:sz="0" w:space="0" w:color="auto"/>
        <w:bottom w:val="none" w:sz="0" w:space="0" w:color="auto"/>
        <w:right w:val="none" w:sz="0" w:space="0" w:color="auto"/>
      </w:divBdr>
    </w:div>
    <w:div w:id="676149960">
      <w:bodyDiv w:val="1"/>
      <w:marLeft w:val="0"/>
      <w:marRight w:val="0"/>
      <w:marTop w:val="0"/>
      <w:marBottom w:val="0"/>
      <w:divBdr>
        <w:top w:val="none" w:sz="0" w:space="0" w:color="auto"/>
        <w:left w:val="none" w:sz="0" w:space="0" w:color="auto"/>
        <w:bottom w:val="none" w:sz="0" w:space="0" w:color="auto"/>
        <w:right w:val="none" w:sz="0" w:space="0" w:color="auto"/>
      </w:divBdr>
    </w:div>
    <w:div w:id="683703674">
      <w:bodyDiv w:val="1"/>
      <w:marLeft w:val="0"/>
      <w:marRight w:val="0"/>
      <w:marTop w:val="0"/>
      <w:marBottom w:val="0"/>
      <w:divBdr>
        <w:top w:val="none" w:sz="0" w:space="0" w:color="auto"/>
        <w:left w:val="none" w:sz="0" w:space="0" w:color="auto"/>
        <w:bottom w:val="none" w:sz="0" w:space="0" w:color="auto"/>
        <w:right w:val="none" w:sz="0" w:space="0" w:color="auto"/>
      </w:divBdr>
    </w:div>
    <w:div w:id="683944032">
      <w:bodyDiv w:val="1"/>
      <w:marLeft w:val="0"/>
      <w:marRight w:val="0"/>
      <w:marTop w:val="0"/>
      <w:marBottom w:val="0"/>
      <w:divBdr>
        <w:top w:val="none" w:sz="0" w:space="0" w:color="auto"/>
        <w:left w:val="none" w:sz="0" w:space="0" w:color="auto"/>
        <w:bottom w:val="none" w:sz="0" w:space="0" w:color="auto"/>
        <w:right w:val="none" w:sz="0" w:space="0" w:color="auto"/>
      </w:divBdr>
    </w:div>
    <w:div w:id="690768428">
      <w:bodyDiv w:val="1"/>
      <w:marLeft w:val="0"/>
      <w:marRight w:val="0"/>
      <w:marTop w:val="0"/>
      <w:marBottom w:val="0"/>
      <w:divBdr>
        <w:top w:val="none" w:sz="0" w:space="0" w:color="auto"/>
        <w:left w:val="none" w:sz="0" w:space="0" w:color="auto"/>
        <w:bottom w:val="none" w:sz="0" w:space="0" w:color="auto"/>
        <w:right w:val="none" w:sz="0" w:space="0" w:color="auto"/>
      </w:divBdr>
      <w:divsChild>
        <w:div w:id="208761746">
          <w:marLeft w:val="1627"/>
          <w:marRight w:val="0"/>
          <w:marTop w:val="150"/>
          <w:marBottom w:val="0"/>
          <w:divBdr>
            <w:top w:val="none" w:sz="0" w:space="0" w:color="auto"/>
            <w:left w:val="none" w:sz="0" w:space="0" w:color="auto"/>
            <w:bottom w:val="none" w:sz="0" w:space="0" w:color="auto"/>
            <w:right w:val="none" w:sz="0" w:space="0" w:color="auto"/>
          </w:divBdr>
        </w:div>
        <w:div w:id="343627941">
          <w:marLeft w:val="1627"/>
          <w:marRight w:val="0"/>
          <w:marTop w:val="150"/>
          <w:marBottom w:val="0"/>
          <w:divBdr>
            <w:top w:val="none" w:sz="0" w:space="0" w:color="auto"/>
            <w:left w:val="none" w:sz="0" w:space="0" w:color="auto"/>
            <w:bottom w:val="none" w:sz="0" w:space="0" w:color="auto"/>
            <w:right w:val="none" w:sz="0" w:space="0" w:color="auto"/>
          </w:divBdr>
        </w:div>
        <w:div w:id="494032354">
          <w:marLeft w:val="1627"/>
          <w:marRight w:val="0"/>
          <w:marTop w:val="150"/>
          <w:marBottom w:val="0"/>
          <w:divBdr>
            <w:top w:val="none" w:sz="0" w:space="0" w:color="auto"/>
            <w:left w:val="none" w:sz="0" w:space="0" w:color="auto"/>
            <w:bottom w:val="none" w:sz="0" w:space="0" w:color="auto"/>
            <w:right w:val="none" w:sz="0" w:space="0" w:color="auto"/>
          </w:divBdr>
        </w:div>
        <w:div w:id="567110547">
          <w:marLeft w:val="1627"/>
          <w:marRight w:val="0"/>
          <w:marTop w:val="150"/>
          <w:marBottom w:val="0"/>
          <w:divBdr>
            <w:top w:val="none" w:sz="0" w:space="0" w:color="auto"/>
            <w:left w:val="none" w:sz="0" w:space="0" w:color="auto"/>
            <w:bottom w:val="none" w:sz="0" w:space="0" w:color="auto"/>
            <w:right w:val="none" w:sz="0" w:space="0" w:color="auto"/>
          </w:divBdr>
        </w:div>
        <w:div w:id="1066417535">
          <w:marLeft w:val="1627"/>
          <w:marRight w:val="0"/>
          <w:marTop w:val="150"/>
          <w:marBottom w:val="0"/>
          <w:divBdr>
            <w:top w:val="none" w:sz="0" w:space="0" w:color="auto"/>
            <w:left w:val="none" w:sz="0" w:space="0" w:color="auto"/>
            <w:bottom w:val="none" w:sz="0" w:space="0" w:color="auto"/>
            <w:right w:val="none" w:sz="0" w:space="0" w:color="auto"/>
          </w:divBdr>
        </w:div>
        <w:div w:id="1569919535">
          <w:marLeft w:val="1627"/>
          <w:marRight w:val="0"/>
          <w:marTop w:val="150"/>
          <w:marBottom w:val="0"/>
          <w:divBdr>
            <w:top w:val="none" w:sz="0" w:space="0" w:color="auto"/>
            <w:left w:val="none" w:sz="0" w:space="0" w:color="auto"/>
            <w:bottom w:val="none" w:sz="0" w:space="0" w:color="auto"/>
            <w:right w:val="none" w:sz="0" w:space="0" w:color="auto"/>
          </w:divBdr>
        </w:div>
      </w:divsChild>
    </w:div>
    <w:div w:id="700127517">
      <w:bodyDiv w:val="1"/>
      <w:marLeft w:val="0"/>
      <w:marRight w:val="0"/>
      <w:marTop w:val="0"/>
      <w:marBottom w:val="0"/>
      <w:divBdr>
        <w:top w:val="none" w:sz="0" w:space="0" w:color="auto"/>
        <w:left w:val="none" w:sz="0" w:space="0" w:color="auto"/>
        <w:bottom w:val="none" w:sz="0" w:space="0" w:color="auto"/>
        <w:right w:val="none" w:sz="0" w:space="0" w:color="auto"/>
      </w:divBdr>
    </w:div>
    <w:div w:id="711612577">
      <w:bodyDiv w:val="1"/>
      <w:marLeft w:val="0"/>
      <w:marRight w:val="0"/>
      <w:marTop w:val="0"/>
      <w:marBottom w:val="0"/>
      <w:divBdr>
        <w:top w:val="none" w:sz="0" w:space="0" w:color="auto"/>
        <w:left w:val="none" w:sz="0" w:space="0" w:color="auto"/>
        <w:bottom w:val="none" w:sz="0" w:space="0" w:color="auto"/>
        <w:right w:val="none" w:sz="0" w:space="0" w:color="auto"/>
      </w:divBdr>
    </w:div>
    <w:div w:id="713387401">
      <w:bodyDiv w:val="1"/>
      <w:marLeft w:val="0"/>
      <w:marRight w:val="0"/>
      <w:marTop w:val="0"/>
      <w:marBottom w:val="0"/>
      <w:divBdr>
        <w:top w:val="none" w:sz="0" w:space="0" w:color="auto"/>
        <w:left w:val="none" w:sz="0" w:space="0" w:color="auto"/>
        <w:bottom w:val="none" w:sz="0" w:space="0" w:color="auto"/>
        <w:right w:val="none" w:sz="0" w:space="0" w:color="auto"/>
      </w:divBdr>
    </w:div>
    <w:div w:id="732699984">
      <w:bodyDiv w:val="1"/>
      <w:marLeft w:val="0"/>
      <w:marRight w:val="0"/>
      <w:marTop w:val="0"/>
      <w:marBottom w:val="0"/>
      <w:divBdr>
        <w:top w:val="none" w:sz="0" w:space="0" w:color="auto"/>
        <w:left w:val="none" w:sz="0" w:space="0" w:color="auto"/>
        <w:bottom w:val="none" w:sz="0" w:space="0" w:color="auto"/>
        <w:right w:val="none" w:sz="0" w:space="0" w:color="auto"/>
      </w:divBdr>
    </w:div>
    <w:div w:id="745036881">
      <w:bodyDiv w:val="1"/>
      <w:marLeft w:val="0"/>
      <w:marRight w:val="0"/>
      <w:marTop w:val="0"/>
      <w:marBottom w:val="0"/>
      <w:divBdr>
        <w:top w:val="none" w:sz="0" w:space="0" w:color="auto"/>
        <w:left w:val="none" w:sz="0" w:space="0" w:color="auto"/>
        <w:bottom w:val="none" w:sz="0" w:space="0" w:color="auto"/>
        <w:right w:val="none" w:sz="0" w:space="0" w:color="auto"/>
      </w:divBdr>
      <w:divsChild>
        <w:div w:id="57441575">
          <w:marLeft w:val="1627"/>
          <w:marRight w:val="0"/>
          <w:marTop w:val="180"/>
          <w:marBottom w:val="0"/>
          <w:divBdr>
            <w:top w:val="none" w:sz="0" w:space="0" w:color="auto"/>
            <w:left w:val="none" w:sz="0" w:space="0" w:color="auto"/>
            <w:bottom w:val="none" w:sz="0" w:space="0" w:color="auto"/>
            <w:right w:val="none" w:sz="0" w:space="0" w:color="auto"/>
          </w:divBdr>
        </w:div>
        <w:div w:id="902638189">
          <w:marLeft w:val="1627"/>
          <w:marRight w:val="0"/>
          <w:marTop w:val="180"/>
          <w:marBottom w:val="0"/>
          <w:divBdr>
            <w:top w:val="none" w:sz="0" w:space="0" w:color="auto"/>
            <w:left w:val="none" w:sz="0" w:space="0" w:color="auto"/>
            <w:bottom w:val="none" w:sz="0" w:space="0" w:color="auto"/>
            <w:right w:val="none" w:sz="0" w:space="0" w:color="auto"/>
          </w:divBdr>
        </w:div>
        <w:div w:id="946154432">
          <w:marLeft w:val="1627"/>
          <w:marRight w:val="0"/>
          <w:marTop w:val="180"/>
          <w:marBottom w:val="0"/>
          <w:divBdr>
            <w:top w:val="none" w:sz="0" w:space="0" w:color="auto"/>
            <w:left w:val="none" w:sz="0" w:space="0" w:color="auto"/>
            <w:bottom w:val="none" w:sz="0" w:space="0" w:color="auto"/>
            <w:right w:val="none" w:sz="0" w:space="0" w:color="auto"/>
          </w:divBdr>
        </w:div>
        <w:div w:id="1073971037">
          <w:marLeft w:val="1627"/>
          <w:marRight w:val="0"/>
          <w:marTop w:val="180"/>
          <w:marBottom w:val="0"/>
          <w:divBdr>
            <w:top w:val="none" w:sz="0" w:space="0" w:color="auto"/>
            <w:left w:val="none" w:sz="0" w:space="0" w:color="auto"/>
            <w:bottom w:val="none" w:sz="0" w:space="0" w:color="auto"/>
            <w:right w:val="none" w:sz="0" w:space="0" w:color="auto"/>
          </w:divBdr>
        </w:div>
        <w:div w:id="1333485845">
          <w:marLeft w:val="1627"/>
          <w:marRight w:val="0"/>
          <w:marTop w:val="180"/>
          <w:marBottom w:val="0"/>
          <w:divBdr>
            <w:top w:val="none" w:sz="0" w:space="0" w:color="auto"/>
            <w:left w:val="none" w:sz="0" w:space="0" w:color="auto"/>
            <w:bottom w:val="none" w:sz="0" w:space="0" w:color="auto"/>
            <w:right w:val="none" w:sz="0" w:space="0" w:color="auto"/>
          </w:divBdr>
        </w:div>
      </w:divsChild>
    </w:div>
    <w:div w:id="746268884">
      <w:bodyDiv w:val="1"/>
      <w:marLeft w:val="0"/>
      <w:marRight w:val="0"/>
      <w:marTop w:val="0"/>
      <w:marBottom w:val="0"/>
      <w:divBdr>
        <w:top w:val="none" w:sz="0" w:space="0" w:color="auto"/>
        <w:left w:val="none" w:sz="0" w:space="0" w:color="auto"/>
        <w:bottom w:val="none" w:sz="0" w:space="0" w:color="auto"/>
        <w:right w:val="none" w:sz="0" w:space="0" w:color="auto"/>
      </w:divBdr>
    </w:div>
    <w:div w:id="759326893">
      <w:bodyDiv w:val="1"/>
      <w:marLeft w:val="0"/>
      <w:marRight w:val="0"/>
      <w:marTop w:val="0"/>
      <w:marBottom w:val="0"/>
      <w:divBdr>
        <w:top w:val="none" w:sz="0" w:space="0" w:color="auto"/>
        <w:left w:val="none" w:sz="0" w:space="0" w:color="auto"/>
        <w:bottom w:val="none" w:sz="0" w:space="0" w:color="auto"/>
        <w:right w:val="none" w:sz="0" w:space="0" w:color="auto"/>
      </w:divBdr>
    </w:div>
    <w:div w:id="788818138">
      <w:bodyDiv w:val="1"/>
      <w:marLeft w:val="0"/>
      <w:marRight w:val="0"/>
      <w:marTop w:val="0"/>
      <w:marBottom w:val="0"/>
      <w:divBdr>
        <w:top w:val="none" w:sz="0" w:space="0" w:color="auto"/>
        <w:left w:val="none" w:sz="0" w:space="0" w:color="auto"/>
        <w:bottom w:val="none" w:sz="0" w:space="0" w:color="auto"/>
        <w:right w:val="none" w:sz="0" w:space="0" w:color="auto"/>
      </w:divBdr>
    </w:div>
    <w:div w:id="805856670">
      <w:bodyDiv w:val="1"/>
      <w:marLeft w:val="0"/>
      <w:marRight w:val="0"/>
      <w:marTop w:val="0"/>
      <w:marBottom w:val="0"/>
      <w:divBdr>
        <w:top w:val="none" w:sz="0" w:space="0" w:color="auto"/>
        <w:left w:val="none" w:sz="0" w:space="0" w:color="auto"/>
        <w:bottom w:val="none" w:sz="0" w:space="0" w:color="auto"/>
        <w:right w:val="none" w:sz="0" w:space="0" w:color="auto"/>
      </w:divBdr>
    </w:div>
    <w:div w:id="809902487">
      <w:bodyDiv w:val="1"/>
      <w:marLeft w:val="0"/>
      <w:marRight w:val="0"/>
      <w:marTop w:val="0"/>
      <w:marBottom w:val="0"/>
      <w:divBdr>
        <w:top w:val="none" w:sz="0" w:space="0" w:color="auto"/>
        <w:left w:val="none" w:sz="0" w:space="0" w:color="auto"/>
        <w:bottom w:val="none" w:sz="0" w:space="0" w:color="auto"/>
        <w:right w:val="none" w:sz="0" w:space="0" w:color="auto"/>
      </w:divBdr>
    </w:div>
    <w:div w:id="840123039">
      <w:bodyDiv w:val="1"/>
      <w:marLeft w:val="0"/>
      <w:marRight w:val="0"/>
      <w:marTop w:val="0"/>
      <w:marBottom w:val="0"/>
      <w:divBdr>
        <w:top w:val="none" w:sz="0" w:space="0" w:color="auto"/>
        <w:left w:val="none" w:sz="0" w:space="0" w:color="auto"/>
        <w:bottom w:val="none" w:sz="0" w:space="0" w:color="auto"/>
        <w:right w:val="none" w:sz="0" w:space="0" w:color="auto"/>
      </w:divBdr>
    </w:div>
    <w:div w:id="865368637">
      <w:bodyDiv w:val="1"/>
      <w:marLeft w:val="0"/>
      <w:marRight w:val="0"/>
      <w:marTop w:val="0"/>
      <w:marBottom w:val="0"/>
      <w:divBdr>
        <w:top w:val="none" w:sz="0" w:space="0" w:color="auto"/>
        <w:left w:val="none" w:sz="0" w:space="0" w:color="auto"/>
        <w:bottom w:val="none" w:sz="0" w:space="0" w:color="auto"/>
        <w:right w:val="none" w:sz="0" w:space="0" w:color="auto"/>
      </w:divBdr>
      <w:divsChild>
        <w:div w:id="578250369">
          <w:marLeft w:val="1627"/>
          <w:marRight w:val="0"/>
          <w:marTop w:val="150"/>
          <w:marBottom w:val="0"/>
          <w:divBdr>
            <w:top w:val="none" w:sz="0" w:space="0" w:color="auto"/>
            <w:left w:val="none" w:sz="0" w:space="0" w:color="auto"/>
            <w:bottom w:val="none" w:sz="0" w:space="0" w:color="auto"/>
            <w:right w:val="none" w:sz="0" w:space="0" w:color="auto"/>
          </w:divBdr>
        </w:div>
        <w:div w:id="1079791893">
          <w:marLeft w:val="1627"/>
          <w:marRight w:val="0"/>
          <w:marTop w:val="150"/>
          <w:marBottom w:val="0"/>
          <w:divBdr>
            <w:top w:val="none" w:sz="0" w:space="0" w:color="auto"/>
            <w:left w:val="none" w:sz="0" w:space="0" w:color="auto"/>
            <w:bottom w:val="none" w:sz="0" w:space="0" w:color="auto"/>
            <w:right w:val="none" w:sz="0" w:space="0" w:color="auto"/>
          </w:divBdr>
        </w:div>
        <w:div w:id="1359160733">
          <w:marLeft w:val="1627"/>
          <w:marRight w:val="0"/>
          <w:marTop w:val="150"/>
          <w:marBottom w:val="0"/>
          <w:divBdr>
            <w:top w:val="none" w:sz="0" w:space="0" w:color="auto"/>
            <w:left w:val="none" w:sz="0" w:space="0" w:color="auto"/>
            <w:bottom w:val="none" w:sz="0" w:space="0" w:color="auto"/>
            <w:right w:val="none" w:sz="0" w:space="0" w:color="auto"/>
          </w:divBdr>
        </w:div>
        <w:div w:id="1646154242">
          <w:marLeft w:val="1627"/>
          <w:marRight w:val="0"/>
          <w:marTop w:val="150"/>
          <w:marBottom w:val="0"/>
          <w:divBdr>
            <w:top w:val="none" w:sz="0" w:space="0" w:color="auto"/>
            <w:left w:val="none" w:sz="0" w:space="0" w:color="auto"/>
            <w:bottom w:val="none" w:sz="0" w:space="0" w:color="auto"/>
            <w:right w:val="none" w:sz="0" w:space="0" w:color="auto"/>
          </w:divBdr>
        </w:div>
        <w:div w:id="2057464098">
          <w:marLeft w:val="1627"/>
          <w:marRight w:val="0"/>
          <w:marTop w:val="150"/>
          <w:marBottom w:val="0"/>
          <w:divBdr>
            <w:top w:val="none" w:sz="0" w:space="0" w:color="auto"/>
            <w:left w:val="none" w:sz="0" w:space="0" w:color="auto"/>
            <w:bottom w:val="none" w:sz="0" w:space="0" w:color="auto"/>
            <w:right w:val="none" w:sz="0" w:space="0" w:color="auto"/>
          </w:divBdr>
        </w:div>
      </w:divsChild>
    </w:div>
    <w:div w:id="868682513">
      <w:bodyDiv w:val="1"/>
      <w:marLeft w:val="0"/>
      <w:marRight w:val="0"/>
      <w:marTop w:val="0"/>
      <w:marBottom w:val="0"/>
      <w:divBdr>
        <w:top w:val="none" w:sz="0" w:space="0" w:color="auto"/>
        <w:left w:val="none" w:sz="0" w:space="0" w:color="auto"/>
        <w:bottom w:val="none" w:sz="0" w:space="0" w:color="auto"/>
        <w:right w:val="none" w:sz="0" w:space="0" w:color="auto"/>
      </w:divBdr>
    </w:div>
    <w:div w:id="869298770">
      <w:bodyDiv w:val="1"/>
      <w:marLeft w:val="0"/>
      <w:marRight w:val="0"/>
      <w:marTop w:val="0"/>
      <w:marBottom w:val="0"/>
      <w:divBdr>
        <w:top w:val="none" w:sz="0" w:space="0" w:color="auto"/>
        <w:left w:val="none" w:sz="0" w:space="0" w:color="auto"/>
        <w:bottom w:val="none" w:sz="0" w:space="0" w:color="auto"/>
        <w:right w:val="none" w:sz="0" w:space="0" w:color="auto"/>
      </w:divBdr>
    </w:div>
    <w:div w:id="896284301">
      <w:bodyDiv w:val="1"/>
      <w:marLeft w:val="0"/>
      <w:marRight w:val="0"/>
      <w:marTop w:val="0"/>
      <w:marBottom w:val="0"/>
      <w:divBdr>
        <w:top w:val="none" w:sz="0" w:space="0" w:color="auto"/>
        <w:left w:val="none" w:sz="0" w:space="0" w:color="auto"/>
        <w:bottom w:val="none" w:sz="0" w:space="0" w:color="auto"/>
        <w:right w:val="none" w:sz="0" w:space="0" w:color="auto"/>
      </w:divBdr>
    </w:div>
    <w:div w:id="908853873">
      <w:bodyDiv w:val="1"/>
      <w:marLeft w:val="0"/>
      <w:marRight w:val="0"/>
      <w:marTop w:val="0"/>
      <w:marBottom w:val="0"/>
      <w:divBdr>
        <w:top w:val="none" w:sz="0" w:space="0" w:color="auto"/>
        <w:left w:val="none" w:sz="0" w:space="0" w:color="auto"/>
        <w:bottom w:val="none" w:sz="0" w:space="0" w:color="auto"/>
        <w:right w:val="none" w:sz="0" w:space="0" w:color="auto"/>
      </w:divBdr>
      <w:divsChild>
        <w:div w:id="922028194">
          <w:marLeft w:val="1627"/>
          <w:marRight w:val="0"/>
          <w:marTop w:val="150"/>
          <w:marBottom w:val="0"/>
          <w:divBdr>
            <w:top w:val="none" w:sz="0" w:space="0" w:color="auto"/>
            <w:left w:val="none" w:sz="0" w:space="0" w:color="auto"/>
            <w:bottom w:val="none" w:sz="0" w:space="0" w:color="auto"/>
            <w:right w:val="none" w:sz="0" w:space="0" w:color="auto"/>
          </w:divBdr>
        </w:div>
        <w:div w:id="1125928966">
          <w:marLeft w:val="1627"/>
          <w:marRight w:val="0"/>
          <w:marTop w:val="150"/>
          <w:marBottom w:val="0"/>
          <w:divBdr>
            <w:top w:val="none" w:sz="0" w:space="0" w:color="auto"/>
            <w:left w:val="none" w:sz="0" w:space="0" w:color="auto"/>
            <w:bottom w:val="none" w:sz="0" w:space="0" w:color="auto"/>
            <w:right w:val="none" w:sz="0" w:space="0" w:color="auto"/>
          </w:divBdr>
        </w:div>
        <w:div w:id="1665280420">
          <w:marLeft w:val="1627"/>
          <w:marRight w:val="0"/>
          <w:marTop w:val="150"/>
          <w:marBottom w:val="0"/>
          <w:divBdr>
            <w:top w:val="none" w:sz="0" w:space="0" w:color="auto"/>
            <w:left w:val="none" w:sz="0" w:space="0" w:color="auto"/>
            <w:bottom w:val="none" w:sz="0" w:space="0" w:color="auto"/>
            <w:right w:val="none" w:sz="0" w:space="0" w:color="auto"/>
          </w:divBdr>
        </w:div>
      </w:divsChild>
    </w:div>
    <w:div w:id="935093755">
      <w:bodyDiv w:val="1"/>
      <w:marLeft w:val="0"/>
      <w:marRight w:val="0"/>
      <w:marTop w:val="0"/>
      <w:marBottom w:val="0"/>
      <w:divBdr>
        <w:top w:val="none" w:sz="0" w:space="0" w:color="auto"/>
        <w:left w:val="none" w:sz="0" w:space="0" w:color="auto"/>
        <w:bottom w:val="none" w:sz="0" w:space="0" w:color="auto"/>
        <w:right w:val="none" w:sz="0" w:space="0" w:color="auto"/>
      </w:divBdr>
    </w:div>
    <w:div w:id="938566410">
      <w:bodyDiv w:val="1"/>
      <w:marLeft w:val="0"/>
      <w:marRight w:val="0"/>
      <w:marTop w:val="0"/>
      <w:marBottom w:val="0"/>
      <w:divBdr>
        <w:top w:val="none" w:sz="0" w:space="0" w:color="auto"/>
        <w:left w:val="none" w:sz="0" w:space="0" w:color="auto"/>
        <w:bottom w:val="none" w:sz="0" w:space="0" w:color="auto"/>
        <w:right w:val="none" w:sz="0" w:space="0" w:color="auto"/>
      </w:divBdr>
    </w:div>
    <w:div w:id="1012143139">
      <w:bodyDiv w:val="1"/>
      <w:marLeft w:val="0"/>
      <w:marRight w:val="0"/>
      <w:marTop w:val="0"/>
      <w:marBottom w:val="0"/>
      <w:divBdr>
        <w:top w:val="none" w:sz="0" w:space="0" w:color="auto"/>
        <w:left w:val="none" w:sz="0" w:space="0" w:color="auto"/>
        <w:bottom w:val="none" w:sz="0" w:space="0" w:color="auto"/>
        <w:right w:val="none" w:sz="0" w:space="0" w:color="auto"/>
      </w:divBdr>
    </w:div>
    <w:div w:id="1018114970">
      <w:bodyDiv w:val="1"/>
      <w:marLeft w:val="0"/>
      <w:marRight w:val="0"/>
      <w:marTop w:val="0"/>
      <w:marBottom w:val="0"/>
      <w:divBdr>
        <w:top w:val="none" w:sz="0" w:space="0" w:color="auto"/>
        <w:left w:val="none" w:sz="0" w:space="0" w:color="auto"/>
        <w:bottom w:val="none" w:sz="0" w:space="0" w:color="auto"/>
        <w:right w:val="none" w:sz="0" w:space="0" w:color="auto"/>
      </w:divBdr>
    </w:div>
    <w:div w:id="1029256911">
      <w:bodyDiv w:val="1"/>
      <w:marLeft w:val="0"/>
      <w:marRight w:val="0"/>
      <w:marTop w:val="0"/>
      <w:marBottom w:val="0"/>
      <w:divBdr>
        <w:top w:val="none" w:sz="0" w:space="0" w:color="auto"/>
        <w:left w:val="none" w:sz="0" w:space="0" w:color="auto"/>
        <w:bottom w:val="none" w:sz="0" w:space="0" w:color="auto"/>
        <w:right w:val="none" w:sz="0" w:space="0" w:color="auto"/>
      </w:divBdr>
    </w:div>
    <w:div w:id="1029842073">
      <w:bodyDiv w:val="1"/>
      <w:marLeft w:val="0"/>
      <w:marRight w:val="0"/>
      <w:marTop w:val="0"/>
      <w:marBottom w:val="0"/>
      <w:divBdr>
        <w:top w:val="none" w:sz="0" w:space="0" w:color="auto"/>
        <w:left w:val="none" w:sz="0" w:space="0" w:color="auto"/>
        <w:bottom w:val="none" w:sz="0" w:space="0" w:color="auto"/>
        <w:right w:val="none" w:sz="0" w:space="0" w:color="auto"/>
      </w:divBdr>
    </w:div>
    <w:div w:id="1033189162">
      <w:bodyDiv w:val="1"/>
      <w:marLeft w:val="0"/>
      <w:marRight w:val="0"/>
      <w:marTop w:val="0"/>
      <w:marBottom w:val="0"/>
      <w:divBdr>
        <w:top w:val="none" w:sz="0" w:space="0" w:color="auto"/>
        <w:left w:val="none" w:sz="0" w:space="0" w:color="auto"/>
        <w:bottom w:val="none" w:sz="0" w:space="0" w:color="auto"/>
        <w:right w:val="none" w:sz="0" w:space="0" w:color="auto"/>
      </w:divBdr>
    </w:div>
    <w:div w:id="1053382269">
      <w:bodyDiv w:val="1"/>
      <w:marLeft w:val="0"/>
      <w:marRight w:val="0"/>
      <w:marTop w:val="0"/>
      <w:marBottom w:val="0"/>
      <w:divBdr>
        <w:top w:val="none" w:sz="0" w:space="0" w:color="auto"/>
        <w:left w:val="none" w:sz="0" w:space="0" w:color="auto"/>
        <w:bottom w:val="none" w:sz="0" w:space="0" w:color="auto"/>
        <w:right w:val="none" w:sz="0" w:space="0" w:color="auto"/>
      </w:divBdr>
      <w:divsChild>
        <w:div w:id="31343616">
          <w:marLeft w:val="1627"/>
          <w:marRight w:val="0"/>
          <w:marTop w:val="150"/>
          <w:marBottom w:val="0"/>
          <w:divBdr>
            <w:top w:val="none" w:sz="0" w:space="0" w:color="auto"/>
            <w:left w:val="none" w:sz="0" w:space="0" w:color="auto"/>
            <w:bottom w:val="none" w:sz="0" w:space="0" w:color="auto"/>
            <w:right w:val="none" w:sz="0" w:space="0" w:color="auto"/>
          </w:divBdr>
        </w:div>
        <w:div w:id="185028158">
          <w:marLeft w:val="1627"/>
          <w:marRight w:val="0"/>
          <w:marTop w:val="150"/>
          <w:marBottom w:val="0"/>
          <w:divBdr>
            <w:top w:val="none" w:sz="0" w:space="0" w:color="auto"/>
            <w:left w:val="none" w:sz="0" w:space="0" w:color="auto"/>
            <w:bottom w:val="none" w:sz="0" w:space="0" w:color="auto"/>
            <w:right w:val="none" w:sz="0" w:space="0" w:color="auto"/>
          </w:divBdr>
        </w:div>
        <w:div w:id="507136358">
          <w:marLeft w:val="1627"/>
          <w:marRight w:val="0"/>
          <w:marTop w:val="150"/>
          <w:marBottom w:val="0"/>
          <w:divBdr>
            <w:top w:val="none" w:sz="0" w:space="0" w:color="auto"/>
            <w:left w:val="none" w:sz="0" w:space="0" w:color="auto"/>
            <w:bottom w:val="none" w:sz="0" w:space="0" w:color="auto"/>
            <w:right w:val="none" w:sz="0" w:space="0" w:color="auto"/>
          </w:divBdr>
        </w:div>
        <w:div w:id="548347479">
          <w:marLeft w:val="1627"/>
          <w:marRight w:val="0"/>
          <w:marTop w:val="150"/>
          <w:marBottom w:val="0"/>
          <w:divBdr>
            <w:top w:val="none" w:sz="0" w:space="0" w:color="auto"/>
            <w:left w:val="none" w:sz="0" w:space="0" w:color="auto"/>
            <w:bottom w:val="none" w:sz="0" w:space="0" w:color="auto"/>
            <w:right w:val="none" w:sz="0" w:space="0" w:color="auto"/>
          </w:divBdr>
        </w:div>
      </w:divsChild>
    </w:div>
    <w:div w:id="1073238177">
      <w:bodyDiv w:val="1"/>
      <w:marLeft w:val="0"/>
      <w:marRight w:val="0"/>
      <w:marTop w:val="0"/>
      <w:marBottom w:val="0"/>
      <w:divBdr>
        <w:top w:val="none" w:sz="0" w:space="0" w:color="auto"/>
        <w:left w:val="none" w:sz="0" w:space="0" w:color="auto"/>
        <w:bottom w:val="none" w:sz="0" w:space="0" w:color="auto"/>
        <w:right w:val="none" w:sz="0" w:space="0" w:color="auto"/>
      </w:divBdr>
    </w:div>
    <w:div w:id="1086809676">
      <w:bodyDiv w:val="1"/>
      <w:marLeft w:val="0"/>
      <w:marRight w:val="0"/>
      <w:marTop w:val="0"/>
      <w:marBottom w:val="0"/>
      <w:divBdr>
        <w:top w:val="none" w:sz="0" w:space="0" w:color="auto"/>
        <w:left w:val="none" w:sz="0" w:space="0" w:color="auto"/>
        <w:bottom w:val="none" w:sz="0" w:space="0" w:color="auto"/>
        <w:right w:val="none" w:sz="0" w:space="0" w:color="auto"/>
      </w:divBdr>
    </w:div>
    <w:div w:id="1099449198">
      <w:bodyDiv w:val="1"/>
      <w:marLeft w:val="0"/>
      <w:marRight w:val="0"/>
      <w:marTop w:val="0"/>
      <w:marBottom w:val="0"/>
      <w:divBdr>
        <w:top w:val="none" w:sz="0" w:space="0" w:color="auto"/>
        <w:left w:val="none" w:sz="0" w:space="0" w:color="auto"/>
        <w:bottom w:val="none" w:sz="0" w:space="0" w:color="auto"/>
        <w:right w:val="none" w:sz="0" w:space="0" w:color="auto"/>
      </w:divBdr>
    </w:div>
    <w:div w:id="1114061670">
      <w:bodyDiv w:val="1"/>
      <w:marLeft w:val="0"/>
      <w:marRight w:val="0"/>
      <w:marTop w:val="0"/>
      <w:marBottom w:val="0"/>
      <w:divBdr>
        <w:top w:val="none" w:sz="0" w:space="0" w:color="auto"/>
        <w:left w:val="none" w:sz="0" w:space="0" w:color="auto"/>
        <w:bottom w:val="none" w:sz="0" w:space="0" w:color="auto"/>
        <w:right w:val="none" w:sz="0" w:space="0" w:color="auto"/>
      </w:divBdr>
    </w:div>
    <w:div w:id="1121071869">
      <w:bodyDiv w:val="1"/>
      <w:marLeft w:val="0"/>
      <w:marRight w:val="0"/>
      <w:marTop w:val="0"/>
      <w:marBottom w:val="0"/>
      <w:divBdr>
        <w:top w:val="none" w:sz="0" w:space="0" w:color="auto"/>
        <w:left w:val="none" w:sz="0" w:space="0" w:color="auto"/>
        <w:bottom w:val="none" w:sz="0" w:space="0" w:color="auto"/>
        <w:right w:val="none" w:sz="0" w:space="0" w:color="auto"/>
      </w:divBdr>
      <w:divsChild>
        <w:div w:id="126241830">
          <w:marLeft w:val="1627"/>
          <w:marRight w:val="0"/>
          <w:marTop w:val="150"/>
          <w:marBottom w:val="0"/>
          <w:divBdr>
            <w:top w:val="none" w:sz="0" w:space="0" w:color="auto"/>
            <w:left w:val="none" w:sz="0" w:space="0" w:color="auto"/>
            <w:bottom w:val="none" w:sz="0" w:space="0" w:color="auto"/>
            <w:right w:val="none" w:sz="0" w:space="0" w:color="auto"/>
          </w:divBdr>
        </w:div>
        <w:div w:id="974061569">
          <w:marLeft w:val="1627"/>
          <w:marRight w:val="0"/>
          <w:marTop w:val="150"/>
          <w:marBottom w:val="0"/>
          <w:divBdr>
            <w:top w:val="none" w:sz="0" w:space="0" w:color="auto"/>
            <w:left w:val="none" w:sz="0" w:space="0" w:color="auto"/>
            <w:bottom w:val="none" w:sz="0" w:space="0" w:color="auto"/>
            <w:right w:val="none" w:sz="0" w:space="0" w:color="auto"/>
          </w:divBdr>
        </w:div>
        <w:div w:id="1032222750">
          <w:marLeft w:val="1627"/>
          <w:marRight w:val="0"/>
          <w:marTop w:val="150"/>
          <w:marBottom w:val="0"/>
          <w:divBdr>
            <w:top w:val="none" w:sz="0" w:space="0" w:color="auto"/>
            <w:left w:val="none" w:sz="0" w:space="0" w:color="auto"/>
            <w:bottom w:val="none" w:sz="0" w:space="0" w:color="auto"/>
            <w:right w:val="none" w:sz="0" w:space="0" w:color="auto"/>
          </w:divBdr>
        </w:div>
        <w:div w:id="1661810586">
          <w:marLeft w:val="1627"/>
          <w:marRight w:val="0"/>
          <w:marTop w:val="150"/>
          <w:marBottom w:val="0"/>
          <w:divBdr>
            <w:top w:val="none" w:sz="0" w:space="0" w:color="auto"/>
            <w:left w:val="none" w:sz="0" w:space="0" w:color="auto"/>
            <w:bottom w:val="none" w:sz="0" w:space="0" w:color="auto"/>
            <w:right w:val="none" w:sz="0" w:space="0" w:color="auto"/>
          </w:divBdr>
        </w:div>
      </w:divsChild>
    </w:div>
    <w:div w:id="1127815262">
      <w:bodyDiv w:val="1"/>
      <w:marLeft w:val="0"/>
      <w:marRight w:val="0"/>
      <w:marTop w:val="0"/>
      <w:marBottom w:val="0"/>
      <w:divBdr>
        <w:top w:val="none" w:sz="0" w:space="0" w:color="auto"/>
        <w:left w:val="none" w:sz="0" w:space="0" w:color="auto"/>
        <w:bottom w:val="none" w:sz="0" w:space="0" w:color="auto"/>
        <w:right w:val="none" w:sz="0" w:space="0" w:color="auto"/>
      </w:divBdr>
    </w:div>
    <w:div w:id="1134326819">
      <w:bodyDiv w:val="1"/>
      <w:marLeft w:val="0"/>
      <w:marRight w:val="0"/>
      <w:marTop w:val="0"/>
      <w:marBottom w:val="0"/>
      <w:divBdr>
        <w:top w:val="none" w:sz="0" w:space="0" w:color="auto"/>
        <w:left w:val="none" w:sz="0" w:space="0" w:color="auto"/>
        <w:bottom w:val="none" w:sz="0" w:space="0" w:color="auto"/>
        <w:right w:val="none" w:sz="0" w:space="0" w:color="auto"/>
      </w:divBdr>
    </w:div>
    <w:div w:id="1143083214">
      <w:bodyDiv w:val="1"/>
      <w:marLeft w:val="0"/>
      <w:marRight w:val="0"/>
      <w:marTop w:val="0"/>
      <w:marBottom w:val="0"/>
      <w:divBdr>
        <w:top w:val="none" w:sz="0" w:space="0" w:color="auto"/>
        <w:left w:val="none" w:sz="0" w:space="0" w:color="auto"/>
        <w:bottom w:val="none" w:sz="0" w:space="0" w:color="auto"/>
        <w:right w:val="none" w:sz="0" w:space="0" w:color="auto"/>
      </w:divBdr>
      <w:divsChild>
        <w:div w:id="500387004">
          <w:marLeft w:val="1627"/>
          <w:marRight w:val="0"/>
          <w:marTop w:val="180"/>
          <w:marBottom w:val="0"/>
          <w:divBdr>
            <w:top w:val="none" w:sz="0" w:space="0" w:color="auto"/>
            <w:left w:val="none" w:sz="0" w:space="0" w:color="auto"/>
            <w:bottom w:val="none" w:sz="0" w:space="0" w:color="auto"/>
            <w:right w:val="none" w:sz="0" w:space="0" w:color="auto"/>
          </w:divBdr>
        </w:div>
        <w:div w:id="1163859809">
          <w:marLeft w:val="1627"/>
          <w:marRight w:val="0"/>
          <w:marTop w:val="180"/>
          <w:marBottom w:val="0"/>
          <w:divBdr>
            <w:top w:val="none" w:sz="0" w:space="0" w:color="auto"/>
            <w:left w:val="none" w:sz="0" w:space="0" w:color="auto"/>
            <w:bottom w:val="none" w:sz="0" w:space="0" w:color="auto"/>
            <w:right w:val="none" w:sz="0" w:space="0" w:color="auto"/>
          </w:divBdr>
        </w:div>
        <w:div w:id="1184979876">
          <w:marLeft w:val="1627"/>
          <w:marRight w:val="0"/>
          <w:marTop w:val="180"/>
          <w:marBottom w:val="0"/>
          <w:divBdr>
            <w:top w:val="none" w:sz="0" w:space="0" w:color="auto"/>
            <w:left w:val="none" w:sz="0" w:space="0" w:color="auto"/>
            <w:bottom w:val="none" w:sz="0" w:space="0" w:color="auto"/>
            <w:right w:val="none" w:sz="0" w:space="0" w:color="auto"/>
          </w:divBdr>
        </w:div>
        <w:div w:id="1249850549">
          <w:marLeft w:val="1627"/>
          <w:marRight w:val="0"/>
          <w:marTop w:val="180"/>
          <w:marBottom w:val="0"/>
          <w:divBdr>
            <w:top w:val="none" w:sz="0" w:space="0" w:color="auto"/>
            <w:left w:val="none" w:sz="0" w:space="0" w:color="auto"/>
            <w:bottom w:val="none" w:sz="0" w:space="0" w:color="auto"/>
            <w:right w:val="none" w:sz="0" w:space="0" w:color="auto"/>
          </w:divBdr>
        </w:div>
        <w:div w:id="1363555710">
          <w:marLeft w:val="1627"/>
          <w:marRight w:val="0"/>
          <w:marTop w:val="180"/>
          <w:marBottom w:val="0"/>
          <w:divBdr>
            <w:top w:val="none" w:sz="0" w:space="0" w:color="auto"/>
            <w:left w:val="none" w:sz="0" w:space="0" w:color="auto"/>
            <w:bottom w:val="none" w:sz="0" w:space="0" w:color="auto"/>
            <w:right w:val="none" w:sz="0" w:space="0" w:color="auto"/>
          </w:divBdr>
        </w:div>
        <w:div w:id="1482695464">
          <w:marLeft w:val="1627"/>
          <w:marRight w:val="0"/>
          <w:marTop w:val="180"/>
          <w:marBottom w:val="0"/>
          <w:divBdr>
            <w:top w:val="none" w:sz="0" w:space="0" w:color="auto"/>
            <w:left w:val="none" w:sz="0" w:space="0" w:color="auto"/>
            <w:bottom w:val="none" w:sz="0" w:space="0" w:color="auto"/>
            <w:right w:val="none" w:sz="0" w:space="0" w:color="auto"/>
          </w:divBdr>
        </w:div>
        <w:div w:id="1635522116">
          <w:marLeft w:val="1627"/>
          <w:marRight w:val="0"/>
          <w:marTop w:val="180"/>
          <w:marBottom w:val="0"/>
          <w:divBdr>
            <w:top w:val="none" w:sz="0" w:space="0" w:color="auto"/>
            <w:left w:val="none" w:sz="0" w:space="0" w:color="auto"/>
            <w:bottom w:val="none" w:sz="0" w:space="0" w:color="auto"/>
            <w:right w:val="none" w:sz="0" w:space="0" w:color="auto"/>
          </w:divBdr>
        </w:div>
      </w:divsChild>
    </w:div>
    <w:div w:id="1146701422">
      <w:bodyDiv w:val="1"/>
      <w:marLeft w:val="0"/>
      <w:marRight w:val="0"/>
      <w:marTop w:val="0"/>
      <w:marBottom w:val="0"/>
      <w:divBdr>
        <w:top w:val="none" w:sz="0" w:space="0" w:color="auto"/>
        <w:left w:val="none" w:sz="0" w:space="0" w:color="auto"/>
        <w:bottom w:val="none" w:sz="0" w:space="0" w:color="auto"/>
        <w:right w:val="none" w:sz="0" w:space="0" w:color="auto"/>
      </w:divBdr>
    </w:div>
    <w:div w:id="1147359892">
      <w:bodyDiv w:val="1"/>
      <w:marLeft w:val="0"/>
      <w:marRight w:val="0"/>
      <w:marTop w:val="0"/>
      <w:marBottom w:val="0"/>
      <w:divBdr>
        <w:top w:val="none" w:sz="0" w:space="0" w:color="auto"/>
        <w:left w:val="none" w:sz="0" w:space="0" w:color="auto"/>
        <w:bottom w:val="none" w:sz="0" w:space="0" w:color="auto"/>
        <w:right w:val="none" w:sz="0" w:space="0" w:color="auto"/>
      </w:divBdr>
    </w:div>
    <w:div w:id="1157846324">
      <w:bodyDiv w:val="1"/>
      <w:marLeft w:val="0"/>
      <w:marRight w:val="0"/>
      <w:marTop w:val="0"/>
      <w:marBottom w:val="0"/>
      <w:divBdr>
        <w:top w:val="none" w:sz="0" w:space="0" w:color="auto"/>
        <w:left w:val="none" w:sz="0" w:space="0" w:color="auto"/>
        <w:bottom w:val="none" w:sz="0" w:space="0" w:color="auto"/>
        <w:right w:val="none" w:sz="0" w:space="0" w:color="auto"/>
      </w:divBdr>
      <w:divsChild>
        <w:div w:id="326056997">
          <w:marLeft w:val="1627"/>
          <w:marRight w:val="0"/>
          <w:marTop w:val="180"/>
          <w:marBottom w:val="0"/>
          <w:divBdr>
            <w:top w:val="none" w:sz="0" w:space="0" w:color="auto"/>
            <w:left w:val="none" w:sz="0" w:space="0" w:color="auto"/>
            <w:bottom w:val="none" w:sz="0" w:space="0" w:color="auto"/>
            <w:right w:val="none" w:sz="0" w:space="0" w:color="auto"/>
          </w:divBdr>
        </w:div>
        <w:div w:id="336463337">
          <w:marLeft w:val="1627"/>
          <w:marRight w:val="0"/>
          <w:marTop w:val="180"/>
          <w:marBottom w:val="0"/>
          <w:divBdr>
            <w:top w:val="none" w:sz="0" w:space="0" w:color="auto"/>
            <w:left w:val="none" w:sz="0" w:space="0" w:color="auto"/>
            <w:bottom w:val="none" w:sz="0" w:space="0" w:color="auto"/>
            <w:right w:val="none" w:sz="0" w:space="0" w:color="auto"/>
          </w:divBdr>
        </w:div>
        <w:div w:id="1056784474">
          <w:marLeft w:val="1627"/>
          <w:marRight w:val="0"/>
          <w:marTop w:val="180"/>
          <w:marBottom w:val="0"/>
          <w:divBdr>
            <w:top w:val="none" w:sz="0" w:space="0" w:color="auto"/>
            <w:left w:val="none" w:sz="0" w:space="0" w:color="auto"/>
            <w:bottom w:val="none" w:sz="0" w:space="0" w:color="auto"/>
            <w:right w:val="none" w:sz="0" w:space="0" w:color="auto"/>
          </w:divBdr>
        </w:div>
        <w:div w:id="1776829546">
          <w:marLeft w:val="1627"/>
          <w:marRight w:val="0"/>
          <w:marTop w:val="180"/>
          <w:marBottom w:val="0"/>
          <w:divBdr>
            <w:top w:val="none" w:sz="0" w:space="0" w:color="auto"/>
            <w:left w:val="none" w:sz="0" w:space="0" w:color="auto"/>
            <w:bottom w:val="none" w:sz="0" w:space="0" w:color="auto"/>
            <w:right w:val="none" w:sz="0" w:space="0" w:color="auto"/>
          </w:divBdr>
        </w:div>
      </w:divsChild>
    </w:div>
    <w:div w:id="1172792783">
      <w:bodyDiv w:val="1"/>
      <w:marLeft w:val="0"/>
      <w:marRight w:val="0"/>
      <w:marTop w:val="0"/>
      <w:marBottom w:val="0"/>
      <w:divBdr>
        <w:top w:val="none" w:sz="0" w:space="0" w:color="auto"/>
        <w:left w:val="none" w:sz="0" w:space="0" w:color="auto"/>
        <w:bottom w:val="none" w:sz="0" w:space="0" w:color="auto"/>
        <w:right w:val="none" w:sz="0" w:space="0" w:color="auto"/>
      </w:divBdr>
    </w:div>
    <w:div w:id="1175799256">
      <w:bodyDiv w:val="1"/>
      <w:marLeft w:val="0"/>
      <w:marRight w:val="0"/>
      <w:marTop w:val="0"/>
      <w:marBottom w:val="0"/>
      <w:divBdr>
        <w:top w:val="none" w:sz="0" w:space="0" w:color="auto"/>
        <w:left w:val="none" w:sz="0" w:space="0" w:color="auto"/>
        <w:bottom w:val="none" w:sz="0" w:space="0" w:color="auto"/>
        <w:right w:val="none" w:sz="0" w:space="0" w:color="auto"/>
      </w:divBdr>
    </w:div>
    <w:div w:id="1202860828">
      <w:bodyDiv w:val="1"/>
      <w:marLeft w:val="0"/>
      <w:marRight w:val="0"/>
      <w:marTop w:val="0"/>
      <w:marBottom w:val="0"/>
      <w:divBdr>
        <w:top w:val="none" w:sz="0" w:space="0" w:color="auto"/>
        <w:left w:val="none" w:sz="0" w:space="0" w:color="auto"/>
        <w:bottom w:val="none" w:sz="0" w:space="0" w:color="auto"/>
        <w:right w:val="none" w:sz="0" w:space="0" w:color="auto"/>
      </w:divBdr>
      <w:divsChild>
        <w:div w:id="11955396">
          <w:marLeft w:val="1627"/>
          <w:marRight w:val="0"/>
          <w:marTop w:val="150"/>
          <w:marBottom w:val="0"/>
          <w:divBdr>
            <w:top w:val="none" w:sz="0" w:space="0" w:color="auto"/>
            <w:left w:val="none" w:sz="0" w:space="0" w:color="auto"/>
            <w:bottom w:val="none" w:sz="0" w:space="0" w:color="auto"/>
            <w:right w:val="none" w:sz="0" w:space="0" w:color="auto"/>
          </w:divBdr>
        </w:div>
        <w:div w:id="573047096">
          <w:marLeft w:val="1627"/>
          <w:marRight w:val="0"/>
          <w:marTop w:val="150"/>
          <w:marBottom w:val="0"/>
          <w:divBdr>
            <w:top w:val="none" w:sz="0" w:space="0" w:color="auto"/>
            <w:left w:val="none" w:sz="0" w:space="0" w:color="auto"/>
            <w:bottom w:val="none" w:sz="0" w:space="0" w:color="auto"/>
            <w:right w:val="none" w:sz="0" w:space="0" w:color="auto"/>
          </w:divBdr>
        </w:div>
        <w:div w:id="1096632997">
          <w:marLeft w:val="1627"/>
          <w:marRight w:val="0"/>
          <w:marTop w:val="150"/>
          <w:marBottom w:val="0"/>
          <w:divBdr>
            <w:top w:val="none" w:sz="0" w:space="0" w:color="auto"/>
            <w:left w:val="none" w:sz="0" w:space="0" w:color="auto"/>
            <w:bottom w:val="none" w:sz="0" w:space="0" w:color="auto"/>
            <w:right w:val="none" w:sz="0" w:space="0" w:color="auto"/>
          </w:divBdr>
        </w:div>
        <w:div w:id="1206716883">
          <w:marLeft w:val="1627"/>
          <w:marRight w:val="0"/>
          <w:marTop w:val="150"/>
          <w:marBottom w:val="0"/>
          <w:divBdr>
            <w:top w:val="none" w:sz="0" w:space="0" w:color="auto"/>
            <w:left w:val="none" w:sz="0" w:space="0" w:color="auto"/>
            <w:bottom w:val="none" w:sz="0" w:space="0" w:color="auto"/>
            <w:right w:val="none" w:sz="0" w:space="0" w:color="auto"/>
          </w:divBdr>
        </w:div>
        <w:div w:id="1545946313">
          <w:marLeft w:val="1627"/>
          <w:marRight w:val="0"/>
          <w:marTop w:val="150"/>
          <w:marBottom w:val="0"/>
          <w:divBdr>
            <w:top w:val="none" w:sz="0" w:space="0" w:color="auto"/>
            <w:left w:val="none" w:sz="0" w:space="0" w:color="auto"/>
            <w:bottom w:val="none" w:sz="0" w:space="0" w:color="auto"/>
            <w:right w:val="none" w:sz="0" w:space="0" w:color="auto"/>
          </w:divBdr>
        </w:div>
      </w:divsChild>
    </w:div>
    <w:div w:id="1220093083">
      <w:bodyDiv w:val="1"/>
      <w:marLeft w:val="0"/>
      <w:marRight w:val="0"/>
      <w:marTop w:val="0"/>
      <w:marBottom w:val="0"/>
      <w:divBdr>
        <w:top w:val="none" w:sz="0" w:space="0" w:color="auto"/>
        <w:left w:val="none" w:sz="0" w:space="0" w:color="auto"/>
        <w:bottom w:val="none" w:sz="0" w:space="0" w:color="auto"/>
        <w:right w:val="none" w:sz="0" w:space="0" w:color="auto"/>
      </w:divBdr>
    </w:div>
    <w:div w:id="1223129094">
      <w:bodyDiv w:val="1"/>
      <w:marLeft w:val="0"/>
      <w:marRight w:val="0"/>
      <w:marTop w:val="0"/>
      <w:marBottom w:val="0"/>
      <w:divBdr>
        <w:top w:val="none" w:sz="0" w:space="0" w:color="auto"/>
        <w:left w:val="none" w:sz="0" w:space="0" w:color="auto"/>
        <w:bottom w:val="none" w:sz="0" w:space="0" w:color="auto"/>
        <w:right w:val="none" w:sz="0" w:space="0" w:color="auto"/>
      </w:divBdr>
    </w:div>
    <w:div w:id="1224635890">
      <w:bodyDiv w:val="1"/>
      <w:marLeft w:val="0"/>
      <w:marRight w:val="0"/>
      <w:marTop w:val="0"/>
      <w:marBottom w:val="0"/>
      <w:divBdr>
        <w:top w:val="none" w:sz="0" w:space="0" w:color="auto"/>
        <w:left w:val="none" w:sz="0" w:space="0" w:color="auto"/>
        <w:bottom w:val="none" w:sz="0" w:space="0" w:color="auto"/>
        <w:right w:val="none" w:sz="0" w:space="0" w:color="auto"/>
      </w:divBdr>
    </w:div>
    <w:div w:id="1226574779">
      <w:bodyDiv w:val="1"/>
      <w:marLeft w:val="0"/>
      <w:marRight w:val="0"/>
      <w:marTop w:val="0"/>
      <w:marBottom w:val="0"/>
      <w:divBdr>
        <w:top w:val="none" w:sz="0" w:space="0" w:color="auto"/>
        <w:left w:val="none" w:sz="0" w:space="0" w:color="auto"/>
        <w:bottom w:val="none" w:sz="0" w:space="0" w:color="auto"/>
        <w:right w:val="none" w:sz="0" w:space="0" w:color="auto"/>
      </w:divBdr>
    </w:div>
    <w:div w:id="1227687158">
      <w:bodyDiv w:val="1"/>
      <w:marLeft w:val="0"/>
      <w:marRight w:val="0"/>
      <w:marTop w:val="0"/>
      <w:marBottom w:val="0"/>
      <w:divBdr>
        <w:top w:val="none" w:sz="0" w:space="0" w:color="auto"/>
        <w:left w:val="none" w:sz="0" w:space="0" w:color="auto"/>
        <w:bottom w:val="none" w:sz="0" w:space="0" w:color="auto"/>
        <w:right w:val="none" w:sz="0" w:space="0" w:color="auto"/>
      </w:divBdr>
    </w:div>
    <w:div w:id="1248929205">
      <w:bodyDiv w:val="1"/>
      <w:marLeft w:val="0"/>
      <w:marRight w:val="0"/>
      <w:marTop w:val="0"/>
      <w:marBottom w:val="0"/>
      <w:divBdr>
        <w:top w:val="none" w:sz="0" w:space="0" w:color="auto"/>
        <w:left w:val="none" w:sz="0" w:space="0" w:color="auto"/>
        <w:bottom w:val="none" w:sz="0" w:space="0" w:color="auto"/>
        <w:right w:val="none" w:sz="0" w:space="0" w:color="auto"/>
      </w:divBdr>
    </w:div>
    <w:div w:id="1249970426">
      <w:bodyDiv w:val="1"/>
      <w:marLeft w:val="0"/>
      <w:marRight w:val="0"/>
      <w:marTop w:val="0"/>
      <w:marBottom w:val="0"/>
      <w:divBdr>
        <w:top w:val="none" w:sz="0" w:space="0" w:color="auto"/>
        <w:left w:val="none" w:sz="0" w:space="0" w:color="auto"/>
        <w:bottom w:val="none" w:sz="0" w:space="0" w:color="auto"/>
        <w:right w:val="none" w:sz="0" w:space="0" w:color="auto"/>
      </w:divBdr>
      <w:divsChild>
        <w:div w:id="629943458">
          <w:marLeft w:val="1627"/>
          <w:marRight w:val="0"/>
          <w:marTop w:val="150"/>
          <w:marBottom w:val="0"/>
          <w:divBdr>
            <w:top w:val="none" w:sz="0" w:space="0" w:color="auto"/>
            <w:left w:val="none" w:sz="0" w:space="0" w:color="auto"/>
            <w:bottom w:val="none" w:sz="0" w:space="0" w:color="auto"/>
            <w:right w:val="none" w:sz="0" w:space="0" w:color="auto"/>
          </w:divBdr>
        </w:div>
        <w:div w:id="661663534">
          <w:marLeft w:val="1627"/>
          <w:marRight w:val="0"/>
          <w:marTop w:val="150"/>
          <w:marBottom w:val="0"/>
          <w:divBdr>
            <w:top w:val="none" w:sz="0" w:space="0" w:color="auto"/>
            <w:left w:val="none" w:sz="0" w:space="0" w:color="auto"/>
            <w:bottom w:val="none" w:sz="0" w:space="0" w:color="auto"/>
            <w:right w:val="none" w:sz="0" w:space="0" w:color="auto"/>
          </w:divBdr>
        </w:div>
        <w:div w:id="847714388">
          <w:marLeft w:val="1627"/>
          <w:marRight w:val="0"/>
          <w:marTop w:val="150"/>
          <w:marBottom w:val="0"/>
          <w:divBdr>
            <w:top w:val="none" w:sz="0" w:space="0" w:color="auto"/>
            <w:left w:val="none" w:sz="0" w:space="0" w:color="auto"/>
            <w:bottom w:val="none" w:sz="0" w:space="0" w:color="auto"/>
            <w:right w:val="none" w:sz="0" w:space="0" w:color="auto"/>
          </w:divBdr>
        </w:div>
        <w:div w:id="1037127065">
          <w:marLeft w:val="1627"/>
          <w:marRight w:val="0"/>
          <w:marTop w:val="150"/>
          <w:marBottom w:val="0"/>
          <w:divBdr>
            <w:top w:val="none" w:sz="0" w:space="0" w:color="auto"/>
            <w:left w:val="none" w:sz="0" w:space="0" w:color="auto"/>
            <w:bottom w:val="none" w:sz="0" w:space="0" w:color="auto"/>
            <w:right w:val="none" w:sz="0" w:space="0" w:color="auto"/>
          </w:divBdr>
        </w:div>
        <w:div w:id="1489445158">
          <w:marLeft w:val="1627"/>
          <w:marRight w:val="0"/>
          <w:marTop w:val="150"/>
          <w:marBottom w:val="0"/>
          <w:divBdr>
            <w:top w:val="none" w:sz="0" w:space="0" w:color="auto"/>
            <w:left w:val="none" w:sz="0" w:space="0" w:color="auto"/>
            <w:bottom w:val="none" w:sz="0" w:space="0" w:color="auto"/>
            <w:right w:val="none" w:sz="0" w:space="0" w:color="auto"/>
          </w:divBdr>
        </w:div>
        <w:div w:id="1673725768">
          <w:marLeft w:val="1627"/>
          <w:marRight w:val="0"/>
          <w:marTop w:val="150"/>
          <w:marBottom w:val="0"/>
          <w:divBdr>
            <w:top w:val="none" w:sz="0" w:space="0" w:color="auto"/>
            <w:left w:val="none" w:sz="0" w:space="0" w:color="auto"/>
            <w:bottom w:val="none" w:sz="0" w:space="0" w:color="auto"/>
            <w:right w:val="none" w:sz="0" w:space="0" w:color="auto"/>
          </w:divBdr>
        </w:div>
        <w:div w:id="1928267256">
          <w:marLeft w:val="1627"/>
          <w:marRight w:val="0"/>
          <w:marTop w:val="150"/>
          <w:marBottom w:val="0"/>
          <w:divBdr>
            <w:top w:val="none" w:sz="0" w:space="0" w:color="auto"/>
            <w:left w:val="none" w:sz="0" w:space="0" w:color="auto"/>
            <w:bottom w:val="none" w:sz="0" w:space="0" w:color="auto"/>
            <w:right w:val="none" w:sz="0" w:space="0" w:color="auto"/>
          </w:divBdr>
        </w:div>
      </w:divsChild>
    </w:div>
    <w:div w:id="1261448860">
      <w:bodyDiv w:val="1"/>
      <w:marLeft w:val="0"/>
      <w:marRight w:val="0"/>
      <w:marTop w:val="0"/>
      <w:marBottom w:val="0"/>
      <w:divBdr>
        <w:top w:val="none" w:sz="0" w:space="0" w:color="auto"/>
        <w:left w:val="none" w:sz="0" w:space="0" w:color="auto"/>
        <w:bottom w:val="none" w:sz="0" w:space="0" w:color="auto"/>
        <w:right w:val="none" w:sz="0" w:space="0" w:color="auto"/>
      </w:divBdr>
    </w:div>
    <w:div w:id="1279147233">
      <w:bodyDiv w:val="1"/>
      <w:marLeft w:val="0"/>
      <w:marRight w:val="0"/>
      <w:marTop w:val="0"/>
      <w:marBottom w:val="0"/>
      <w:divBdr>
        <w:top w:val="none" w:sz="0" w:space="0" w:color="auto"/>
        <w:left w:val="none" w:sz="0" w:space="0" w:color="auto"/>
        <w:bottom w:val="none" w:sz="0" w:space="0" w:color="auto"/>
        <w:right w:val="none" w:sz="0" w:space="0" w:color="auto"/>
      </w:divBdr>
    </w:div>
    <w:div w:id="1283611108">
      <w:bodyDiv w:val="1"/>
      <w:marLeft w:val="0"/>
      <w:marRight w:val="0"/>
      <w:marTop w:val="0"/>
      <w:marBottom w:val="0"/>
      <w:divBdr>
        <w:top w:val="none" w:sz="0" w:space="0" w:color="auto"/>
        <w:left w:val="none" w:sz="0" w:space="0" w:color="auto"/>
        <w:bottom w:val="none" w:sz="0" w:space="0" w:color="auto"/>
        <w:right w:val="none" w:sz="0" w:space="0" w:color="auto"/>
      </w:divBdr>
    </w:div>
    <w:div w:id="1291669642">
      <w:bodyDiv w:val="1"/>
      <w:marLeft w:val="0"/>
      <w:marRight w:val="0"/>
      <w:marTop w:val="0"/>
      <w:marBottom w:val="0"/>
      <w:divBdr>
        <w:top w:val="none" w:sz="0" w:space="0" w:color="auto"/>
        <w:left w:val="none" w:sz="0" w:space="0" w:color="auto"/>
        <w:bottom w:val="none" w:sz="0" w:space="0" w:color="auto"/>
        <w:right w:val="none" w:sz="0" w:space="0" w:color="auto"/>
      </w:divBdr>
    </w:div>
    <w:div w:id="1298755884">
      <w:bodyDiv w:val="1"/>
      <w:marLeft w:val="0"/>
      <w:marRight w:val="0"/>
      <w:marTop w:val="0"/>
      <w:marBottom w:val="0"/>
      <w:divBdr>
        <w:top w:val="none" w:sz="0" w:space="0" w:color="auto"/>
        <w:left w:val="none" w:sz="0" w:space="0" w:color="auto"/>
        <w:bottom w:val="none" w:sz="0" w:space="0" w:color="auto"/>
        <w:right w:val="none" w:sz="0" w:space="0" w:color="auto"/>
      </w:divBdr>
    </w:div>
    <w:div w:id="1306279216">
      <w:bodyDiv w:val="1"/>
      <w:marLeft w:val="0"/>
      <w:marRight w:val="0"/>
      <w:marTop w:val="0"/>
      <w:marBottom w:val="0"/>
      <w:divBdr>
        <w:top w:val="none" w:sz="0" w:space="0" w:color="auto"/>
        <w:left w:val="none" w:sz="0" w:space="0" w:color="auto"/>
        <w:bottom w:val="none" w:sz="0" w:space="0" w:color="auto"/>
        <w:right w:val="none" w:sz="0" w:space="0" w:color="auto"/>
      </w:divBdr>
    </w:div>
    <w:div w:id="1306932462">
      <w:bodyDiv w:val="1"/>
      <w:marLeft w:val="0"/>
      <w:marRight w:val="0"/>
      <w:marTop w:val="0"/>
      <w:marBottom w:val="0"/>
      <w:divBdr>
        <w:top w:val="none" w:sz="0" w:space="0" w:color="auto"/>
        <w:left w:val="none" w:sz="0" w:space="0" w:color="auto"/>
        <w:bottom w:val="none" w:sz="0" w:space="0" w:color="auto"/>
        <w:right w:val="none" w:sz="0" w:space="0" w:color="auto"/>
      </w:divBdr>
      <w:divsChild>
        <w:div w:id="77333957">
          <w:marLeft w:val="1627"/>
          <w:marRight w:val="0"/>
          <w:marTop w:val="180"/>
          <w:marBottom w:val="0"/>
          <w:divBdr>
            <w:top w:val="none" w:sz="0" w:space="0" w:color="auto"/>
            <w:left w:val="none" w:sz="0" w:space="0" w:color="auto"/>
            <w:bottom w:val="none" w:sz="0" w:space="0" w:color="auto"/>
            <w:right w:val="none" w:sz="0" w:space="0" w:color="auto"/>
          </w:divBdr>
        </w:div>
        <w:div w:id="83650615">
          <w:marLeft w:val="1627"/>
          <w:marRight w:val="0"/>
          <w:marTop w:val="180"/>
          <w:marBottom w:val="0"/>
          <w:divBdr>
            <w:top w:val="none" w:sz="0" w:space="0" w:color="auto"/>
            <w:left w:val="none" w:sz="0" w:space="0" w:color="auto"/>
            <w:bottom w:val="none" w:sz="0" w:space="0" w:color="auto"/>
            <w:right w:val="none" w:sz="0" w:space="0" w:color="auto"/>
          </w:divBdr>
        </w:div>
        <w:div w:id="626400258">
          <w:marLeft w:val="1627"/>
          <w:marRight w:val="0"/>
          <w:marTop w:val="180"/>
          <w:marBottom w:val="0"/>
          <w:divBdr>
            <w:top w:val="none" w:sz="0" w:space="0" w:color="auto"/>
            <w:left w:val="none" w:sz="0" w:space="0" w:color="auto"/>
            <w:bottom w:val="none" w:sz="0" w:space="0" w:color="auto"/>
            <w:right w:val="none" w:sz="0" w:space="0" w:color="auto"/>
          </w:divBdr>
        </w:div>
        <w:div w:id="1810396046">
          <w:marLeft w:val="1627"/>
          <w:marRight w:val="0"/>
          <w:marTop w:val="180"/>
          <w:marBottom w:val="0"/>
          <w:divBdr>
            <w:top w:val="none" w:sz="0" w:space="0" w:color="auto"/>
            <w:left w:val="none" w:sz="0" w:space="0" w:color="auto"/>
            <w:bottom w:val="none" w:sz="0" w:space="0" w:color="auto"/>
            <w:right w:val="none" w:sz="0" w:space="0" w:color="auto"/>
          </w:divBdr>
        </w:div>
        <w:div w:id="2079087887">
          <w:marLeft w:val="1627"/>
          <w:marRight w:val="0"/>
          <w:marTop w:val="180"/>
          <w:marBottom w:val="0"/>
          <w:divBdr>
            <w:top w:val="none" w:sz="0" w:space="0" w:color="auto"/>
            <w:left w:val="none" w:sz="0" w:space="0" w:color="auto"/>
            <w:bottom w:val="none" w:sz="0" w:space="0" w:color="auto"/>
            <w:right w:val="none" w:sz="0" w:space="0" w:color="auto"/>
          </w:divBdr>
        </w:div>
      </w:divsChild>
    </w:div>
    <w:div w:id="1320889533">
      <w:bodyDiv w:val="1"/>
      <w:marLeft w:val="0"/>
      <w:marRight w:val="0"/>
      <w:marTop w:val="0"/>
      <w:marBottom w:val="0"/>
      <w:divBdr>
        <w:top w:val="none" w:sz="0" w:space="0" w:color="auto"/>
        <w:left w:val="none" w:sz="0" w:space="0" w:color="auto"/>
        <w:bottom w:val="none" w:sz="0" w:space="0" w:color="auto"/>
        <w:right w:val="none" w:sz="0" w:space="0" w:color="auto"/>
      </w:divBdr>
    </w:div>
    <w:div w:id="1322083629">
      <w:bodyDiv w:val="1"/>
      <w:marLeft w:val="0"/>
      <w:marRight w:val="0"/>
      <w:marTop w:val="0"/>
      <w:marBottom w:val="0"/>
      <w:divBdr>
        <w:top w:val="none" w:sz="0" w:space="0" w:color="auto"/>
        <w:left w:val="none" w:sz="0" w:space="0" w:color="auto"/>
        <w:bottom w:val="none" w:sz="0" w:space="0" w:color="auto"/>
        <w:right w:val="none" w:sz="0" w:space="0" w:color="auto"/>
      </w:divBdr>
    </w:div>
    <w:div w:id="1337729497">
      <w:bodyDiv w:val="1"/>
      <w:marLeft w:val="0"/>
      <w:marRight w:val="0"/>
      <w:marTop w:val="0"/>
      <w:marBottom w:val="0"/>
      <w:divBdr>
        <w:top w:val="none" w:sz="0" w:space="0" w:color="auto"/>
        <w:left w:val="none" w:sz="0" w:space="0" w:color="auto"/>
        <w:bottom w:val="none" w:sz="0" w:space="0" w:color="auto"/>
        <w:right w:val="none" w:sz="0" w:space="0" w:color="auto"/>
      </w:divBdr>
    </w:div>
    <w:div w:id="1337919288">
      <w:bodyDiv w:val="1"/>
      <w:marLeft w:val="0"/>
      <w:marRight w:val="0"/>
      <w:marTop w:val="0"/>
      <w:marBottom w:val="0"/>
      <w:divBdr>
        <w:top w:val="none" w:sz="0" w:space="0" w:color="auto"/>
        <w:left w:val="none" w:sz="0" w:space="0" w:color="auto"/>
        <w:bottom w:val="none" w:sz="0" w:space="0" w:color="auto"/>
        <w:right w:val="none" w:sz="0" w:space="0" w:color="auto"/>
      </w:divBdr>
    </w:div>
    <w:div w:id="1356465695">
      <w:bodyDiv w:val="1"/>
      <w:marLeft w:val="0"/>
      <w:marRight w:val="0"/>
      <w:marTop w:val="0"/>
      <w:marBottom w:val="0"/>
      <w:divBdr>
        <w:top w:val="none" w:sz="0" w:space="0" w:color="auto"/>
        <w:left w:val="none" w:sz="0" w:space="0" w:color="auto"/>
        <w:bottom w:val="none" w:sz="0" w:space="0" w:color="auto"/>
        <w:right w:val="none" w:sz="0" w:space="0" w:color="auto"/>
      </w:divBdr>
    </w:div>
    <w:div w:id="1357854563">
      <w:bodyDiv w:val="1"/>
      <w:marLeft w:val="0"/>
      <w:marRight w:val="0"/>
      <w:marTop w:val="0"/>
      <w:marBottom w:val="0"/>
      <w:divBdr>
        <w:top w:val="none" w:sz="0" w:space="0" w:color="auto"/>
        <w:left w:val="none" w:sz="0" w:space="0" w:color="auto"/>
        <w:bottom w:val="none" w:sz="0" w:space="0" w:color="auto"/>
        <w:right w:val="none" w:sz="0" w:space="0" w:color="auto"/>
      </w:divBdr>
    </w:div>
    <w:div w:id="1364557275">
      <w:bodyDiv w:val="1"/>
      <w:marLeft w:val="0"/>
      <w:marRight w:val="0"/>
      <w:marTop w:val="0"/>
      <w:marBottom w:val="0"/>
      <w:divBdr>
        <w:top w:val="none" w:sz="0" w:space="0" w:color="auto"/>
        <w:left w:val="none" w:sz="0" w:space="0" w:color="auto"/>
        <w:bottom w:val="none" w:sz="0" w:space="0" w:color="auto"/>
        <w:right w:val="none" w:sz="0" w:space="0" w:color="auto"/>
      </w:divBdr>
    </w:div>
    <w:div w:id="1392651567">
      <w:bodyDiv w:val="1"/>
      <w:marLeft w:val="0"/>
      <w:marRight w:val="0"/>
      <w:marTop w:val="0"/>
      <w:marBottom w:val="0"/>
      <w:divBdr>
        <w:top w:val="none" w:sz="0" w:space="0" w:color="auto"/>
        <w:left w:val="none" w:sz="0" w:space="0" w:color="auto"/>
        <w:bottom w:val="none" w:sz="0" w:space="0" w:color="auto"/>
        <w:right w:val="none" w:sz="0" w:space="0" w:color="auto"/>
      </w:divBdr>
      <w:divsChild>
        <w:div w:id="1355841303">
          <w:marLeft w:val="2707"/>
          <w:marRight w:val="0"/>
          <w:marTop w:val="180"/>
          <w:marBottom w:val="0"/>
          <w:divBdr>
            <w:top w:val="none" w:sz="0" w:space="0" w:color="auto"/>
            <w:left w:val="none" w:sz="0" w:space="0" w:color="auto"/>
            <w:bottom w:val="none" w:sz="0" w:space="0" w:color="auto"/>
            <w:right w:val="none" w:sz="0" w:space="0" w:color="auto"/>
          </w:divBdr>
        </w:div>
        <w:div w:id="2003119132">
          <w:marLeft w:val="2707"/>
          <w:marRight w:val="0"/>
          <w:marTop w:val="180"/>
          <w:marBottom w:val="0"/>
          <w:divBdr>
            <w:top w:val="none" w:sz="0" w:space="0" w:color="auto"/>
            <w:left w:val="none" w:sz="0" w:space="0" w:color="auto"/>
            <w:bottom w:val="none" w:sz="0" w:space="0" w:color="auto"/>
            <w:right w:val="none" w:sz="0" w:space="0" w:color="auto"/>
          </w:divBdr>
        </w:div>
        <w:div w:id="2116822973">
          <w:marLeft w:val="2707"/>
          <w:marRight w:val="0"/>
          <w:marTop w:val="180"/>
          <w:marBottom w:val="0"/>
          <w:divBdr>
            <w:top w:val="none" w:sz="0" w:space="0" w:color="auto"/>
            <w:left w:val="none" w:sz="0" w:space="0" w:color="auto"/>
            <w:bottom w:val="none" w:sz="0" w:space="0" w:color="auto"/>
            <w:right w:val="none" w:sz="0" w:space="0" w:color="auto"/>
          </w:divBdr>
        </w:div>
      </w:divsChild>
    </w:div>
    <w:div w:id="1395279462">
      <w:bodyDiv w:val="1"/>
      <w:marLeft w:val="0"/>
      <w:marRight w:val="0"/>
      <w:marTop w:val="0"/>
      <w:marBottom w:val="0"/>
      <w:divBdr>
        <w:top w:val="none" w:sz="0" w:space="0" w:color="auto"/>
        <w:left w:val="none" w:sz="0" w:space="0" w:color="auto"/>
        <w:bottom w:val="none" w:sz="0" w:space="0" w:color="auto"/>
        <w:right w:val="none" w:sz="0" w:space="0" w:color="auto"/>
      </w:divBdr>
    </w:div>
    <w:div w:id="1403605803">
      <w:bodyDiv w:val="1"/>
      <w:marLeft w:val="0"/>
      <w:marRight w:val="0"/>
      <w:marTop w:val="0"/>
      <w:marBottom w:val="0"/>
      <w:divBdr>
        <w:top w:val="none" w:sz="0" w:space="0" w:color="auto"/>
        <w:left w:val="none" w:sz="0" w:space="0" w:color="auto"/>
        <w:bottom w:val="none" w:sz="0" w:space="0" w:color="auto"/>
        <w:right w:val="none" w:sz="0" w:space="0" w:color="auto"/>
      </w:divBdr>
    </w:div>
    <w:div w:id="1406760321">
      <w:bodyDiv w:val="1"/>
      <w:marLeft w:val="0"/>
      <w:marRight w:val="0"/>
      <w:marTop w:val="0"/>
      <w:marBottom w:val="0"/>
      <w:divBdr>
        <w:top w:val="none" w:sz="0" w:space="0" w:color="auto"/>
        <w:left w:val="none" w:sz="0" w:space="0" w:color="auto"/>
        <w:bottom w:val="none" w:sz="0" w:space="0" w:color="auto"/>
        <w:right w:val="none" w:sz="0" w:space="0" w:color="auto"/>
      </w:divBdr>
    </w:div>
    <w:div w:id="1409377932">
      <w:bodyDiv w:val="1"/>
      <w:marLeft w:val="0"/>
      <w:marRight w:val="0"/>
      <w:marTop w:val="0"/>
      <w:marBottom w:val="0"/>
      <w:divBdr>
        <w:top w:val="none" w:sz="0" w:space="0" w:color="auto"/>
        <w:left w:val="none" w:sz="0" w:space="0" w:color="auto"/>
        <w:bottom w:val="none" w:sz="0" w:space="0" w:color="auto"/>
        <w:right w:val="none" w:sz="0" w:space="0" w:color="auto"/>
      </w:divBdr>
    </w:div>
    <w:div w:id="1410421050">
      <w:bodyDiv w:val="1"/>
      <w:marLeft w:val="0"/>
      <w:marRight w:val="0"/>
      <w:marTop w:val="0"/>
      <w:marBottom w:val="0"/>
      <w:divBdr>
        <w:top w:val="none" w:sz="0" w:space="0" w:color="auto"/>
        <w:left w:val="none" w:sz="0" w:space="0" w:color="auto"/>
        <w:bottom w:val="none" w:sz="0" w:space="0" w:color="auto"/>
        <w:right w:val="none" w:sz="0" w:space="0" w:color="auto"/>
      </w:divBdr>
      <w:divsChild>
        <w:div w:id="1367368959">
          <w:marLeft w:val="1627"/>
          <w:marRight w:val="0"/>
          <w:marTop w:val="150"/>
          <w:marBottom w:val="0"/>
          <w:divBdr>
            <w:top w:val="none" w:sz="0" w:space="0" w:color="auto"/>
            <w:left w:val="none" w:sz="0" w:space="0" w:color="auto"/>
            <w:bottom w:val="none" w:sz="0" w:space="0" w:color="auto"/>
            <w:right w:val="none" w:sz="0" w:space="0" w:color="auto"/>
          </w:divBdr>
        </w:div>
        <w:div w:id="2109039929">
          <w:marLeft w:val="1627"/>
          <w:marRight w:val="0"/>
          <w:marTop w:val="150"/>
          <w:marBottom w:val="0"/>
          <w:divBdr>
            <w:top w:val="none" w:sz="0" w:space="0" w:color="auto"/>
            <w:left w:val="none" w:sz="0" w:space="0" w:color="auto"/>
            <w:bottom w:val="none" w:sz="0" w:space="0" w:color="auto"/>
            <w:right w:val="none" w:sz="0" w:space="0" w:color="auto"/>
          </w:divBdr>
        </w:div>
      </w:divsChild>
    </w:div>
    <w:div w:id="1415516588">
      <w:bodyDiv w:val="1"/>
      <w:marLeft w:val="0"/>
      <w:marRight w:val="0"/>
      <w:marTop w:val="0"/>
      <w:marBottom w:val="0"/>
      <w:divBdr>
        <w:top w:val="none" w:sz="0" w:space="0" w:color="auto"/>
        <w:left w:val="none" w:sz="0" w:space="0" w:color="auto"/>
        <w:bottom w:val="none" w:sz="0" w:space="0" w:color="auto"/>
        <w:right w:val="none" w:sz="0" w:space="0" w:color="auto"/>
      </w:divBdr>
      <w:divsChild>
        <w:div w:id="336003783">
          <w:marLeft w:val="1627"/>
          <w:marRight w:val="0"/>
          <w:marTop w:val="150"/>
          <w:marBottom w:val="0"/>
          <w:divBdr>
            <w:top w:val="none" w:sz="0" w:space="0" w:color="auto"/>
            <w:left w:val="none" w:sz="0" w:space="0" w:color="auto"/>
            <w:bottom w:val="none" w:sz="0" w:space="0" w:color="auto"/>
            <w:right w:val="none" w:sz="0" w:space="0" w:color="auto"/>
          </w:divBdr>
        </w:div>
        <w:div w:id="815150973">
          <w:marLeft w:val="1627"/>
          <w:marRight w:val="0"/>
          <w:marTop w:val="150"/>
          <w:marBottom w:val="0"/>
          <w:divBdr>
            <w:top w:val="none" w:sz="0" w:space="0" w:color="auto"/>
            <w:left w:val="none" w:sz="0" w:space="0" w:color="auto"/>
            <w:bottom w:val="none" w:sz="0" w:space="0" w:color="auto"/>
            <w:right w:val="none" w:sz="0" w:space="0" w:color="auto"/>
          </w:divBdr>
        </w:div>
        <w:div w:id="818770998">
          <w:marLeft w:val="1627"/>
          <w:marRight w:val="0"/>
          <w:marTop w:val="150"/>
          <w:marBottom w:val="0"/>
          <w:divBdr>
            <w:top w:val="none" w:sz="0" w:space="0" w:color="auto"/>
            <w:left w:val="none" w:sz="0" w:space="0" w:color="auto"/>
            <w:bottom w:val="none" w:sz="0" w:space="0" w:color="auto"/>
            <w:right w:val="none" w:sz="0" w:space="0" w:color="auto"/>
          </w:divBdr>
        </w:div>
        <w:div w:id="1430807962">
          <w:marLeft w:val="1627"/>
          <w:marRight w:val="0"/>
          <w:marTop w:val="150"/>
          <w:marBottom w:val="0"/>
          <w:divBdr>
            <w:top w:val="none" w:sz="0" w:space="0" w:color="auto"/>
            <w:left w:val="none" w:sz="0" w:space="0" w:color="auto"/>
            <w:bottom w:val="none" w:sz="0" w:space="0" w:color="auto"/>
            <w:right w:val="none" w:sz="0" w:space="0" w:color="auto"/>
          </w:divBdr>
        </w:div>
      </w:divsChild>
    </w:div>
    <w:div w:id="1439065150">
      <w:bodyDiv w:val="1"/>
      <w:marLeft w:val="0"/>
      <w:marRight w:val="0"/>
      <w:marTop w:val="0"/>
      <w:marBottom w:val="0"/>
      <w:divBdr>
        <w:top w:val="none" w:sz="0" w:space="0" w:color="auto"/>
        <w:left w:val="none" w:sz="0" w:space="0" w:color="auto"/>
        <w:bottom w:val="none" w:sz="0" w:space="0" w:color="auto"/>
        <w:right w:val="none" w:sz="0" w:space="0" w:color="auto"/>
      </w:divBdr>
    </w:div>
    <w:div w:id="1449005096">
      <w:bodyDiv w:val="1"/>
      <w:marLeft w:val="0"/>
      <w:marRight w:val="0"/>
      <w:marTop w:val="0"/>
      <w:marBottom w:val="0"/>
      <w:divBdr>
        <w:top w:val="none" w:sz="0" w:space="0" w:color="auto"/>
        <w:left w:val="none" w:sz="0" w:space="0" w:color="auto"/>
        <w:bottom w:val="none" w:sz="0" w:space="0" w:color="auto"/>
        <w:right w:val="none" w:sz="0" w:space="0" w:color="auto"/>
      </w:divBdr>
      <w:divsChild>
        <w:div w:id="862522185">
          <w:marLeft w:val="1627"/>
          <w:marRight w:val="0"/>
          <w:marTop w:val="150"/>
          <w:marBottom w:val="0"/>
          <w:divBdr>
            <w:top w:val="none" w:sz="0" w:space="0" w:color="auto"/>
            <w:left w:val="none" w:sz="0" w:space="0" w:color="auto"/>
            <w:bottom w:val="none" w:sz="0" w:space="0" w:color="auto"/>
            <w:right w:val="none" w:sz="0" w:space="0" w:color="auto"/>
          </w:divBdr>
        </w:div>
        <w:div w:id="1509978361">
          <w:marLeft w:val="1627"/>
          <w:marRight w:val="0"/>
          <w:marTop w:val="150"/>
          <w:marBottom w:val="0"/>
          <w:divBdr>
            <w:top w:val="none" w:sz="0" w:space="0" w:color="auto"/>
            <w:left w:val="none" w:sz="0" w:space="0" w:color="auto"/>
            <w:bottom w:val="none" w:sz="0" w:space="0" w:color="auto"/>
            <w:right w:val="none" w:sz="0" w:space="0" w:color="auto"/>
          </w:divBdr>
        </w:div>
        <w:div w:id="1873766606">
          <w:marLeft w:val="1627"/>
          <w:marRight w:val="0"/>
          <w:marTop w:val="150"/>
          <w:marBottom w:val="0"/>
          <w:divBdr>
            <w:top w:val="none" w:sz="0" w:space="0" w:color="auto"/>
            <w:left w:val="none" w:sz="0" w:space="0" w:color="auto"/>
            <w:bottom w:val="none" w:sz="0" w:space="0" w:color="auto"/>
            <w:right w:val="none" w:sz="0" w:space="0" w:color="auto"/>
          </w:divBdr>
        </w:div>
        <w:div w:id="2035181459">
          <w:marLeft w:val="1627"/>
          <w:marRight w:val="0"/>
          <w:marTop w:val="150"/>
          <w:marBottom w:val="0"/>
          <w:divBdr>
            <w:top w:val="none" w:sz="0" w:space="0" w:color="auto"/>
            <w:left w:val="none" w:sz="0" w:space="0" w:color="auto"/>
            <w:bottom w:val="none" w:sz="0" w:space="0" w:color="auto"/>
            <w:right w:val="none" w:sz="0" w:space="0" w:color="auto"/>
          </w:divBdr>
        </w:div>
        <w:div w:id="2140996837">
          <w:marLeft w:val="1627"/>
          <w:marRight w:val="0"/>
          <w:marTop w:val="150"/>
          <w:marBottom w:val="0"/>
          <w:divBdr>
            <w:top w:val="none" w:sz="0" w:space="0" w:color="auto"/>
            <w:left w:val="none" w:sz="0" w:space="0" w:color="auto"/>
            <w:bottom w:val="none" w:sz="0" w:space="0" w:color="auto"/>
            <w:right w:val="none" w:sz="0" w:space="0" w:color="auto"/>
          </w:divBdr>
        </w:div>
      </w:divsChild>
    </w:div>
    <w:div w:id="1450510502">
      <w:bodyDiv w:val="1"/>
      <w:marLeft w:val="0"/>
      <w:marRight w:val="0"/>
      <w:marTop w:val="0"/>
      <w:marBottom w:val="0"/>
      <w:divBdr>
        <w:top w:val="none" w:sz="0" w:space="0" w:color="auto"/>
        <w:left w:val="none" w:sz="0" w:space="0" w:color="auto"/>
        <w:bottom w:val="none" w:sz="0" w:space="0" w:color="auto"/>
        <w:right w:val="none" w:sz="0" w:space="0" w:color="auto"/>
      </w:divBdr>
    </w:div>
    <w:div w:id="1451237836">
      <w:bodyDiv w:val="1"/>
      <w:marLeft w:val="0"/>
      <w:marRight w:val="0"/>
      <w:marTop w:val="0"/>
      <w:marBottom w:val="0"/>
      <w:divBdr>
        <w:top w:val="none" w:sz="0" w:space="0" w:color="auto"/>
        <w:left w:val="none" w:sz="0" w:space="0" w:color="auto"/>
        <w:bottom w:val="none" w:sz="0" w:space="0" w:color="auto"/>
        <w:right w:val="none" w:sz="0" w:space="0" w:color="auto"/>
      </w:divBdr>
    </w:div>
    <w:div w:id="1477455586">
      <w:bodyDiv w:val="1"/>
      <w:marLeft w:val="0"/>
      <w:marRight w:val="0"/>
      <w:marTop w:val="0"/>
      <w:marBottom w:val="0"/>
      <w:divBdr>
        <w:top w:val="none" w:sz="0" w:space="0" w:color="auto"/>
        <w:left w:val="none" w:sz="0" w:space="0" w:color="auto"/>
        <w:bottom w:val="none" w:sz="0" w:space="0" w:color="auto"/>
        <w:right w:val="none" w:sz="0" w:space="0" w:color="auto"/>
      </w:divBdr>
    </w:div>
    <w:div w:id="1490366900">
      <w:bodyDiv w:val="1"/>
      <w:marLeft w:val="0"/>
      <w:marRight w:val="0"/>
      <w:marTop w:val="0"/>
      <w:marBottom w:val="0"/>
      <w:divBdr>
        <w:top w:val="none" w:sz="0" w:space="0" w:color="auto"/>
        <w:left w:val="none" w:sz="0" w:space="0" w:color="auto"/>
        <w:bottom w:val="none" w:sz="0" w:space="0" w:color="auto"/>
        <w:right w:val="none" w:sz="0" w:space="0" w:color="auto"/>
      </w:divBdr>
    </w:div>
    <w:div w:id="1502962246">
      <w:bodyDiv w:val="1"/>
      <w:marLeft w:val="0"/>
      <w:marRight w:val="0"/>
      <w:marTop w:val="0"/>
      <w:marBottom w:val="0"/>
      <w:divBdr>
        <w:top w:val="none" w:sz="0" w:space="0" w:color="auto"/>
        <w:left w:val="none" w:sz="0" w:space="0" w:color="auto"/>
        <w:bottom w:val="none" w:sz="0" w:space="0" w:color="auto"/>
        <w:right w:val="none" w:sz="0" w:space="0" w:color="auto"/>
      </w:divBdr>
    </w:div>
    <w:div w:id="1504586419">
      <w:bodyDiv w:val="1"/>
      <w:marLeft w:val="0"/>
      <w:marRight w:val="0"/>
      <w:marTop w:val="0"/>
      <w:marBottom w:val="0"/>
      <w:divBdr>
        <w:top w:val="none" w:sz="0" w:space="0" w:color="auto"/>
        <w:left w:val="none" w:sz="0" w:space="0" w:color="auto"/>
        <w:bottom w:val="none" w:sz="0" w:space="0" w:color="auto"/>
        <w:right w:val="none" w:sz="0" w:space="0" w:color="auto"/>
      </w:divBdr>
    </w:div>
    <w:div w:id="1511338011">
      <w:bodyDiv w:val="1"/>
      <w:marLeft w:val="0"/>
      <w:marRight w:val="0"/>
      <w:marTop w:val="0"/>
      <w:marBottom w:val="0"/>
      <w:divBdr>
        <w:top w:val="none" w:sz="0" w:space="0" w:color="auto"/>
        <w:left w:val="none" w:sz="0" w:space="0" w:color="auto"/>
        <w:bottom w:val="none" w:sz="0" w:space="0" w:color="auto"/>
        <w:right w:val="none" w:sz="0" w:space="0" w:color="auto"/>
      </w:divBdr>
      <w:divsChild>
        <w:div w:id="267782189">
          <w:marLeft w:val="1627"/>
          <w:marRight w:val="0"/>
          <w:marTop w:val="150"/>
          <w:marBottom w:val="0"/>
          <w:divBdr>
            <w:top w:val="none" w:sz="0" w:space="0" w:color="auto"/>
            <w:left w:val="none" w:sz="0" w:space="0" w:color="auto"/>
            <w:bottom w:val="none" w:sz="0" w:space="0" w:color="auto"/>
            <w:right w:val="none" w:sz="0" w:space="0" w:color="auto"/>
          </w:divBdr>
        </w:div>
        <w:div w:id="1551574494">
          <w:marLeft w:val="1627"/>
          <w:marRight w:val="0"/>
          <w:marTop w:val="150"/>
          <w:marBottom w:val="0"/>
          <w:divBdr>
            <w:top w:val="none" w:sz="0" w:space="0" w:color="auto"/>
            <w:left w:val="none" w:sz="0" w:space="0" w:color="auto"/>
            <w:bottom w:val="none" w:sz="0" w:space="0" w:color="auto"/>
            <w:right w:val="none" w:sz="0" w:space="0" w:color="auto"/>
          </w:divBdr>
        </w:div>
        <w:div w:id="1575704386">
          <w:marLeft w:val="1627"/>
          <w:marRight w:val="0"/>
          <w:marTop w:val="150"/>
          <w:marBottom w:val="0"/>
          <w:divBdr>
            <w:top w:val="none" w:sz="0" w:space="0" w:color="auto"/>
            <w:left w:val="none" w:sz="0" w:space="0" w:color="auto"/>
            <w:bottom w:val="none" w:sz="0" w:space="0" w:color="auto"/>
            <w:right w:val="none" w:sz="0" w:space="0" w:color="auto"/>
          </w:divBdr>
        </w:div>
        <w:div w:id="2139641787">
          <w:marLeft w:val="1627"/>
          <w:marRight w:val="0"/>
          <w:marTop w:val="150"/>
          <w:marBottom w:val="0"/>
          <w:divBdr>
            <w:top w:val="none" w:sz="0" w:space="0" w:color="auto"/>
            <w:left w:val="none" w:sz="0" w:space="0" w:color="auto"/>
            <w:bottom w:val="none" w:sz="0" w:space="0" w:color="auto"/>
            <w:right w:val="none" w:sz="0" w:space="0" w:color="auto"/>
          </w:divBdr>
        </w:div>
      </w:divsChild>
    </w:div>
    <w:div w:id="1515922685">
      <w:bodyDiv w:val="1"/>
      <w:marLeft w:val="0"/>
      <w:marRight w:val="0"/>
      <w:marTop w:val="0"/>
      <w:marBottom w:val="0"/>
      <w:divBdr>
        <w:top w:val="none" w:sz="0" w:space="0" w:color="auto"/>
        <w:left w:val="none" w:sz="0" w:space="0" w:color="auto"/>
        <w:bottom w:val="none" w:sz="0" w:space="0" w:color="auto"/>
        <w:right w:val="none" w:sz="0" w:space="0" w:color="auto"/>
      </w:divBdr>
      <w:divsChild>
        <w:div w:id="91173310">
          <w:marLeft w:val="1627"/>
          <w:marRight w:val="0"/>
          <w:marTop w:val="150"/>
          <w:marBottom w:val="0"/>
          <w:divBdr>
            <w:top w:val="none" w:sz="0" w:space="0" w:color="auto"/>
            <w:left w:val="none" w:sz="0" w:space="0" w:color="auto"/>
            <w:bottom w:val="none" w:sz="0" w:space="0" w:color="auto"/>
            <w:right w:val="none" w:sz="0" w:space="0" w:color="auto"/>
          </w:divBdr>
        </w:div>
        <w:div w:id="234630674">
          <w:marLeft w:val="1627"/>
          <w:marRight w:val="0"/>
          <w:marTop w:val="150"/>
          <w:marBottom w:val="0"/>
          <w:divBdr>
            <w:top w:val="none" w:sz="0" w:space="0" w:color="auto"/>
            <w:left w:val="none" w:sz="0" w:space="0" w:color="auto"/>
            <w:bottom w:val="none" w:sz="0" w:space="0" w:color="auto"/>
            <w:right w:val="none" w:sz="0" w:space="0" w:color="auto"/>
          </w:divBdr>
        </w:div>
        <w:div w:id="674765586">
          <w:marLeft w:val="1627"/>
          <w:marRight w:val="0"/>
          <w:marTop w:val="150"/>
          <w:marBottom w:val="0"/>
          <w:divBdr>
            <w:top w:val="none" w:sz="0" w:space="0" w:color="auto"/>
            <w:left w:val="none" w:sz="0" w:space="0" w:color="auto"/>
            <w:bottom w:val="none" w:sz="0" w:space="0" w:color="auto"/>
            <w:right w:val="none" w:sz="0" w:space="0" w:color="auto"/>
          </w:divBdr>
        </w:div>
        <w:div w:id="704987896">
          <w:marLeft w:val="1627"/>
          <w:marRight w:val="0"/>
          <w:marTop w:val="150"/>
          <w:marBottom w:val="0"/>
          <w:divBdr>
            <w:top w:val="none" w:sz="0" w:space="0" w:color="auto"/>
            <w:left w:val="none" w:sz="0" w:space="0" w:color="auto"/>
            <w:bottom w:val="none" w:sz="0" w:space="0" w:color="auto"/>
            <w:right w:val="none" w:sz="0" w:space="0" w:color="auto"/>
          </w:divBdr>
        </w:div>
        <w:div w:id="708534689">
          <w:marLeft w:val="1627"/>
          <w:marRight w:val="0"/>
          <w:marTop w:val="150"/>
          <w:marBottom w:val="0"/>
          <w:divBdr>
            <w:top w:val="none" w:sz="0" w:space="0" w:color="auto"/>
            <w:left w:val="none" w:sz="0" w:space="0" w:color="auto"/>
            <w:bottom w:val="none" w:sz="0" w:space="0" w:color="auto"/>
            <w:right w:val="none" w:sz="0" w:space="0" w:color="auto"/>
          </w:divBdr>
        </w:div>
        <w:div w:id="1566649760">
          <w:marLeft w:val="1627"/>
          <w:marRight w:val="0"/>
          <w:marTop w:val="150"/>
          <w:marBottom w:val="0"/>
          <w:divBdr>
            <w:top w:val="none" w:sz="0" w:space="0" w:color="auto"/>
            <w:left w:val="none" w:sz="0" w:space="0" w:color="auto"/>
            <w:bottom w:val="none" w:sz="0" w:space="0" w:color="auto"/>
            <w:right w:val="none" w:sz="0" w:space="0" w:color="auto"/>
          </w:divBdr>
        </w:div>
      </w:divsChild>
    </w:div>
    <w:div w:id="1517689165">
      <w:bodyDiv w:val="1"/>
      <w:marLeft w:val="0"/>
      <w:marRight w:val="0"/>
      <w:marTop w:val="0"/>
      <w:marBottom w:val="0"/>
      <w:divBdr>
        <w:top w:val="none" w:sz="0" w:space="0" w:color="auto"/>
        <w:left w:val="none" w:sz="0" w:space="0" w:color="auto"/>
        <w:bottom w:val="none" w:sz="0" w:space="0" w:color="auto"/>
        <w:right w:val="none" w:sz="0" w:space="0" w:color="auto"/>
      </w:divBdr>
      <w:divsChild>
        <w:div w:id="14775994">
          <w:marLeft w:val="0"/>
          <w:marRight w:val="0"/>
          <w:marTop w:val="0"/>
          <w:marBottom w:val="0"/>
          <w:divBdr>
            <w:top w:val="none" w:sz="0" w:space="0" w:color="auto"/>
            <w:left w:val="none" w:sz="0" w:space="0" w:color="auto"/>
            <w:bottom w:val="none" w:sz="0" w:space="0" w:color="auto"/>
            <w:right w:val="none" w:sz="0" w:space="0" w:color="auto"/>
          </w:divBdr>
        </w:div>
        <w:div w:id="157238576">
          <w:marLeft w:val="0"/>
          <w:marRight w:val="0"/>
          <w:marTop w:val="0"/>
          <w:marBottom w:val="0"/>
          <w:divBdr>
            <w:top w:val="none" w:sz="0" w:space="0" w:color="auto"/>
            <w:left w:val="none" w:sz="0" w:space="0" w:color="auto"/>
            <w:bottom w:val="none" w:sz="0" w:space="0" w:color="auto"/>
            <w:right w:val="none" w:sz="0" w:space="0" w:color="auto"/>
          </w:divBdr>
        </w:div>
        <w:div w:id="215898761">
          <w:marLeft w:val="0"/>
          <w:marRight w:val="0"/>
          <w:marTop w:val="0"/>
          <w:marBottom w:val="0"/>
          <w:divBdr>
            <w:top w:val="none" w:sz="0" w:space="0" w:color="auto"/>
            <w:left w:val="none" w:sz="0" w:space="0" w:color="auto"/>
            <w:bottom w:val="none" w:sz="0" w:space="0" w:color="auto"/>
            <w:right w:val="none" w:sz="0" w:space="0" w:color="auto"/>
          </w:divBdr>
        </w:div>
        <w:div w:id="249434323">
          <w:marLeft w:val="0"/>
          <w:marRight w:val="0"/>
          <w:marTop w:val="0"/>
          <w:marBottom w:val="0"/>
          <w:divBdr>
            <w:top w:val="none" w:sz="0" w:space="0" w:color="auto"/>
            <w:left w:val="none" w:sz="0" w:space="0" w:color="auto"/>
            <w:bottom w:val="none" w:sz="0" w:space="0" w:color="auto"/>
            <w:right w:val="none" w:sz="0" w:space="0" w:color="auto"/>
          </w:divBdr>
        </w:div>
        <w:div w:id="249706766">
          <w:marLeft w:val="0"/>
          <w:marRight w:val="0"/>
          <w:marTop w:val="0"/>
          <w:marBottom w:val="0"/>
          <w:divBdr>
            <w:top w:val="none" w:sz="0" w:space="0" w:color="auto"/>
            <w:left w:val="none" w:sz="0" w:space="0" w:color="auto"/>
            <w:bottom w:val="none" w:sz="0" w:space="0" w:color="auto"/>
            <w:right w:val="none" w:sz="0" w:space="0" w:color="auto"/>
          </w:divBdr>
        </w:div>
        <w:div w:id="313922355">
          <w:marLeft w:val="0"/>
          <w:marRight w:val="0"/>
          <w:marTop w:val="0"/>
          <w:marBottom w:val="0"/>
          <w:divBdr>
            <w:top w:val="none" w:sz="0" w:space="0" w:color="auto"/>
            <w:left w:val="none" w:sz="0" w:space="0" w:color="auto"/>
            <w:bottom w:val="none" w:sz="0" w:space="0" w:color="auto"/>
            <w:right w:val="none" w:sz="0" w:space="0" w:color="auto"/>
          </w:divBdr>
        </w:div>
        <w:div w:id="454298810">
          <w:marLeft w:val="0"/>
          <w:marRight w:val="0"/>
          <w:marTop w:val="0"/>
          <w:marBottom w:val="0"/>
          <w:divBdr>
            <w:top w:val="none" w:sz="0" w:space="0" w:color="auto"/>
            <w:left w:val="none" w:sz="0" w:space="0" w:color="auto"/>
            <w:bottom w:val="none" w:sz="0" w:space="0" w:color="auto"/>
            <w:right w:val="none" w:sz="0" w:space="0" w:color="auto"/>
          </w:divBdr>
        </w:div>
        <w:div w:id="466975408">
          <w:marLeft w:val="0"/>
          <w:marRight w:val="0"/>
          <w:marTop w:val="0"/>
          <w:marBottom w:val="0"/>
          <w:divBdr>
            <w:top w:val="none" w:sz="0" w:space="0" w:color="auto"/>
            <w:left w:val="none" w:sz="0" w:space="0" w:color="auto"/>
            <w:bottom w:val="none" w:sz="0" w:space="0" w:color="auto"/>
            <w:right w:val="none" w:sz="0" w:space="0" w:color="auto"/>
          </w:divBdr>
        </w:div>
        <w:div w:id="511531734">
          <w:marLeft w:val="0"/>
          <w:marRight w:val="0"/>
          <w:marTop w:val="0"/>
          <w:marBottom w:val="0"/>
          <w:divBdr>
            <w:top w:val="none" w:sz="0" w:space="0" w:color="auto"/>
            <w:left w:val="none" w:sz="0" w:space="0" w:color="auto"/>
            <w:bottom w:val="none" w:sz="0" w:space="0" w:color="auto"/>
            <w:right w:val="none" w:sz="0" w:space="0" w:color="auto"/>
          </w:divBdr>
        </w:div>
        <w:div w:id="511847247">
          <w:marLeft w:val="0"/>
          <w:marRight w:val="0"/>
          <w:marTop w:val="0"/>
          <w:marBottom w:val="0"/>
          <w:divBdr>
            <w:top w:val="none" w:sz="0" w:space="0" w:color="auto"/>
            <w:left w:val="none" w:sz="0" w:space="0" w:color="auto"/>
            <w:bottom w:val="none" w:sz="0" w:space="0" w:color="auto"/>
            <w:right w:val="none" w:sz="0" w:space="0" w:color="auto"/>
          </w:divBdr>
        </w:div>
        <w:div w:id="531773688">
          <w:marLeft w:val="0"/>
          <w:marRight w:val="0"/>
          <w:marTop w:val="0"/>
          <w:marBottom w:val="0"/>
          <w:divBdr>
            <w:top w:val="none" w:sz="0" w:space="0" w:color="auto"/>
            <w:left w:val="none" w:sz="0" w:space="0" w:color="auto"/>
            <w:bottom w:val="none" w:sz="0" w:space="0" w:color="auto"/>
            <w:right w:val="none" w:sz="0" w:space="0" w:color="auto"/>
          </w:divBdr>
        </w:div>
        <w:div w:id="537664924">
          <w:marLeft w:val="0"/>
          <w:marRight w:val="0"/>
          <w:marTop w:val="0"/>
          <w:marBottom w:val="0"/>
          <w:divBdr>
            <w:top w:val="none" w:sz="0" w:space="0" w:color="auto"/>
            <w:left w:val="none" w:sz="0" w:space="0" w:color="auto"/>
            <w:bottom w:val="none" w:sz="0" w:space="0" w:color="auto"/>
            <w:right w:val="none" w:sz="0" w:space="0" w:color="auto"/>
          </w:divBdr>
        </w:div>
        <w:div w:id="581062935">
          <w:marLeft w:val="0"/>
          <w:marRight w:val="0"/>
          <w:marTop w:val="0"/>
          <w:marBottom w:val="0"/>
          <w:divBdr>
            <w:top w:val="none" w:sz="0" w:space="0" w:color="auto"/>
            <w:left w:val="none" w:sz="0" w:space="0" w:color="auto"/>
            <w:bottom w:val="none" w:sz="0" w:space="0" w:color="auto"/>
            <w:right w:val="none" w:sz="0" w:space="0" w:color="auto"/>
          </w:divBdr>
        </w:div>
        <w:div w:id="692342236">
          <w:marLeft w:val="0"/>
          <w:marRight w:val="0"/>
          <w:marTop w:val="0"/>
          <w:marBottom w:val="0"/>
          <w:divBdr>
            <w:top w:val="none" w:sz="0" w:space="0" w:color="auto"/>
            <w:left w:val="none" w:sz="0" w:space="0" w:color="auto"/>
            <w:bottom w:val="none" w:sz="0" w:space="0" w:color="auto"/>
            <w:right w:val="none" w:sz="0" w:space="0" w:color="auto"/>
          </w:divBdr>
        </w:div>
        <w:div w:id="758911954">
          <w:marLeft w:val="0"/>
          <w:marRight w:val="0"/>
          <w:marTop w:val="0"/>
          <w:marBottom w:val="0"/>
          <w:divBdr>
            <w:top w:val="none" w:sz="0" w:space="0" w:color="auto"/>
            <w:left w:val="none" w:sz="0" w:space="0" w:color="auto"/>
            <w:bottom w:val="none" w:sz="0" w:space="0" w:color="auto"/>
            <w:right w:val="none" w:sz="0" w:space="0" w:color="auto"/>
          </w:divBdr>
        </w:div>
        <w:div w:id="813107615">
          <w:marLeft w:val="0"/>
          <w:marRight w:val="0"/>
          <w:marTop w:val="0"/>
          <w:marBottom w:val="0"/>
          <w:divBdr>
            <w:top w:val="none" w:sz="0" w:space="0" w:color="auto"/>
            <w:left w:val="none" w:sz="0" w:space="0" w:color="auto"/>
            <w:bottom w:val="none" w:sz="0" w:space="0" w:color="auto"/>
            <w:right w:val="none" w:sz="0" w:space="0" w:color="auto"/>
          </w:divBdr>
        </w:div>
        <w:div w:id="817307351">
          <w:marLeft w:val="0"/>
          <w:marRight w:val="0"/>
          <w:marTop w:val="0"/>
          <w:marBottom w:val="0"/>
          <w:divBdr>
            <w:top w:val="none" w:sz="0" w:space="0" w:color="auto"/>
            <w:left w:val="none" w:sz="0" w:space="0" w:color="auto"/>
            <w:bottom w:val="none" w:sz="0" w:space="0" w:color="auto"/>
            <w:right w:val="none" w:sz="0" w:space="0" w:color="auto"/>
          </w:divBdr>
        </w:div>
        <w:div w:id="896937893">
          <w:marLeft w:val="0"/>
          <w:marRight w:val="0"/>
          <w:marTop w:val="0"/>
          <w:marBottom w:val="0"/>
          <w:divBdr>
            <w:top w:val="none" w:sz="0" w:space="0" w:color="auto"/>
            <w:left w:val="none" w:sz="0" w:space="0" w:color="auto"/>
            <w:bottom w:val="none" w:sz="0" w:space="0" w:color="auto"/>
            <w:right w:val="none" w:sz="0" w:space="0" w:color="auto"/>
          </w:divBdr>
        </w:div>
        <w:div w:id="1070814468">
          <w:marLeft w:val="0"/>
          <w:marRight w:val="0"/>
          <w:marTop w:val="0"/>
          <w:marBottom w:val="0"/>
          <w:divBdr>
            <w:top w:val="none" w:sz="0" w:space="0" w:color="auto"/>
            <w:left w:val="none" w:sz="0" w:space="0" w:color="auto"/>
            <w:bottom w:val="none" w:sz="0" w:space="0" w:color="auto"/>
            <w:right w:val="none" w:sz="0" w:space="0" w:color="auto"/>
          </w:divBdr>
        </w:div>
        <w:div w:id="1074624345">
          <w:marLeft w:val="0"/>
          <w:marRight w:val="0"/>
          <w:marTop w:val="0"/>
          <w:marBottom w:val="0"/>
          <w:divBdr>
            <w:top w:val="none" w:sz="0" w:space="0" w:color="auto"/>
            <w:left w:val="none" w:sz="0" w:space="0" w:color="auto"/>
            <w:bottom w:val="none" w:sz="0" w:space="0" w:color="auto"/>
            <w:right w:val="none" w:sz="0" w:space="0" w:color="auto"/>
          </w:divBdr>
        </w:div>
        <w:div w:id="1097822069">
          <w:marLeft w:val="0"/>
          <w:marRight w:val="0"/>
          <w:marTop w:val="0"/>
          <w:marBottom w:val="0"/>
          <w:divBdr>
            <w:top w:val="none" w:sz="0" w:space="0" w:color="auto"/>
            <w:left w:val="none" w:sz="0" w:space="0" w:color="auto"/>
            <w:bottom w:val="none" w:sz="0" w:space="0" w:color="auto"/>
            <w:right w:val="none" w:sz="0" w:space="0" w:color="auto"/>
          </w:divBdr>
        </w:div>
        <w:div w:id="1102459542">
          <w:marLeft w:val="0"/>
          <w:marRight w:val="0"/>
          <w:marTop w:val="0"/>
          <w:marBottom w:val="0"/>
          <w:divBdr>
            <w:top w:val="none" w:sz="0" w:space="0" w:color="auto"/>
            <w:left w:val="none" w:sz="0" w:space="0" w:color="auto"/>
            <w:bottom w:val="none" w:sz="0" w:space="0" w:color="auto"/>
            <w:right w:val="none" w:sz="0" w:space="0" w:color="auto"/>
          </w:divBdr>
        </w:div>
        <w:div w:id="1170558458">
          <w:marLeft w:val="0"/>
          <w:marRight w:val="0"/>
          <w:marTop w:val="0"/>
          <w:marBottom w:val="0"/>
          <w:divBdr>
            <w:top w:val="none" w:sz="0" w:space="0" w:color="auto"/>
            <w:left w:val="none" w:sz="0" w:space="0" w:color="auto"/>
            <w:bottom w:val="none" w:sz="0" w:space="0" w:color="auto"/>
            <w:right w:val="none" w:sz="0" w:space="0" w:color="auto"/>
          </w:divBdr>
        </w:div>
        <w:div w:id="1282416410">
          <w:marLeft w:val="0"/>
          <w:marRight w:val="0"/>
          <w:marTop w:val="0"/>
          <w:marBottom w:val="0"/>
          <w:divBdr>
            <w:top w:val="none" w:sz="0" w:space="0" w:color="auto"/>
            <w:left w:val="none" w:sz="0" w:space="0" w:color="auto"/>
            <w:bottom w:val="none" w:sz="0" w:space="0" w:color="auto"/>
            <w:right w:val="none" w:sz="0" w:space="0" w:color="auto"/>
          </w:divBdr>
        </w:div>
        <w:div w:id="1303150076">
          <w:marLeft w:val="0"/>
          <w:marRight w:val="0"/>
          <w:marTop w:val="0"/>
          <w:marBottom w:val="0"/>
          <w:divBdr>
            <w:top w:val="none" w:sz="0" w:space="0" w:color="auto"/>
            <w:left w:val="none" w:sz="0" w:space="0" w:color="auto"/>
            <w:bottom w:val="none" w:sz="0" w:space="0" w:color="auto"/>
            <w:right w:val="none" w:sz="0" w:space="0" w:color="auto"/>
          </w:divBdr>
        </w:div>
        <w:div w:id="1387953079">
          <w:marLeft w:val="0"/>
          <w:marRight w:val="0"/>
          <w:marTop w:val="0"/>
          <w:marBottom w:val="0"/>
          <w:divBdr>
            <w:top w:val="none" w:sz="0" w:space="0" w:color="auto"/>
            <w:left w:val="none" w:sz="0" w:space="0" w:color="auto"/>
            <w:bottom w:val="none" w:sz="0" w:space="0" w:color="auto"/>
            <w:right w:val="none" w:sz="0" w:space="0" w:color="auto"/>
          </w:divBdr>
        </w:div>
        <w:div w:id="1435788048">
          <w:marLeft w:val="0"/>
          <w:marRight w:val="0"/>
          <w:marTop w:val="0"/>
          <w:marBottom w:val="0"/>
          <w:divBdr>
            <w:top w:val="none" w:sz="0" w:space="0" w:color="auto"/>
            <w:left w:val="none" w:sz="0" w:space="0" w:color="auto"/>
            <w:bottom w:val="none" w:sz="0" w:space="0" w:color="auto"/>
            <w:right w:val="none" w:sz="0" w:space="0" w:color="auto"/>
          </w:divBdr>
        </w:div>
        <w:div w:id="1500803669">
          <w:marLeft w:val="0"/>
          <w:marRight w:val="0"/>
          <w:marTop w:val="0"/>
          <w:marBottom w:val="0"/>
          <w:divBdr>
            <w:top w:val="none" w:sz="0" w:space="0" w:color="auto"/>
            <w:left w:val="none" w:sz="0" w:space="0" w:color="auto"/>
            <w:bottom w:val="none" w:sz="0" w:space="0" w:color="auto"/>
            <w:right w:val="none" w:sz="0" w:space="0" w:color="auto"/>
          </w:divBdr>
        </w:div>
        <w:div w:id="1512406572">
          <w:marLeft w:val="0"/>
          <w:marRight w:val="0"/>
          <w:marTop w:val="0"/>
          <w:marBottom w:val="0"/>
          <w:divBdr>
            <w:top w:val="none" w:sz="0" w:space="0" w:color="auto"/>
            <w:left w:val="none" w:sz="0" w:space="0" w:color="auto"/>
            <w:bottom w:val="none" w:sz="0" w:space="0" w:color="auto"/>
            <w:right w:val="none" w:sz="0" w:space="0" w:color="auto"/>
          </w:divBdr>
        </w:div>
        <w:div w:id="1611353370">
          <w:marLeft w:val="0"/>
          <w:marRight w:val="0"/>
          <w:marTop w:val="0"/>
          <w:marBottom w:val="0"/>
          <w:divBdr>
            <w:top w:val="none" w:sz="0" w:space="0" w:color="auto"/>
            <w:left w:val="none" w:sz="0" w:space="0" w:color="auto"/>
            <w:bottom w:val="none" w:sz="0" w:space="0" w:color="auto"/>
            <w:right w:val="none" w:sz="0" w:space="0" w:color="auto"/>
          </w:divBdr>
        </w:div>
        <w:div w:id="1624921101">
          <w:marLeft w:val="0"/>
          <w:marRight w:val="0"/>
          <w:marTop w:val="0"/>
          <w:marBottom w:val="0"/>
          <w:divBdr>
            <w:top w:val="none" w:sz="0" w:space="0" w:color="auto"/>
            <w:left w:val="none" w:sz="0" w:space="0" w:color="auto"/>
            <w:bottom w:val="none" w:sz="0" w:space="0" w:color="auto"/>
            <w:right w:val="none" w:sz="0" w:space="0" w:color="auto"/>
          </w:divBdr>
        </w:div>
        <w:div w:id="1659725199">
          <w:marLeft w:val="0"/>
          <w:marRight w:val="0"/>
          <w:marTop w:val="0"/>
          <w:marBottom w:val="0"/>
          <w:divBdr>
            <w:top w:val="none" w:sz="0" w:space="0" w:color="auto"/>
            <w:left w:val="none" w:sz="0" w:space="0" w:color="auto"/>
            <w:bottom w:val="none" w:sz="0" w:space="0" w:color="auto"/>
            <w:right w:val="none" w:sz="0" w:space="0" w:color="auto"/>
          </w:divBdr>
        </w:div>
        <w:div w:id="1738242638">
          <w:marLeft w:val="0"/>
          <w:marRight w:val="0"/>
          <w:marTop w:val="0"/>
          <w:marBottom w:val="0"/>
          <w:divBdr>
            <w:top w:val="none" w:sz="0" w:space="0" w:color="auto"/>
            <w:left w:val="none" w:sz="0" w:space="0" w:color="auto"/>
            <w:bottom w:val="none" w:sz="0" w:space="0" w:color="auto"/>
            <w:right w:val="none" w:sz="0" w:space="0" w:color="auto"/>
          </w:divBdr>
        </w:div>
        <w:div w:id="1792363520">
          <w:marLeft w:val="0"/>
          <w:marRight w:val="0"/>
          <w:marTop w:val="0"/>
          <w:marBottom w:val="0"/>
          <w:divBdr>
            <w:top w:val="none" w:sz="0" w:space="0" w:color="auto"/>
            <w:left w:val="none" w:sz="0" w:space="0" w:color="auto"/>
            <w:bottom w:val="none" w:sz="0" w:space="0" w:color="auto"/>
            <w:right w:val="none" w:sz="0" w:space="0" w:color="auto"/>
          </w:divBdr>
        </w:div>
        <w:div w:id="1799949847">
          <w:marLeft w:val="0"/>
          <w:marRight w:val="0"/>
          <w:marTop w:val="0"/>
          <w:marBottom w:val="0"/>
          <w:divBdr>
            <w:top w:val="none" w:sz="0" w:space="0" w:color="auto"/>
            <w:left w:val="none" w:sz="0" w:space="0" w:color="auto"/>
            <w:bottom w:val="none" w:sz="0" w:space="0" w:color="auto"/>
            <w:right w:val="none" w:sz="0" w:space="0" w:color="auto"/>
          </w:divBdr>
        </w:div>
        <w:div w:id="1858346891">
          <w:marLeft w:val="0"/>
          <w:marRight w:val="0"/>
          <w:marTop w:val="0"/>
          <w:marBottom w:val="0"/>
          <w:divBdr>
            <w:top w:val="none" w:sz="0" w:space="0" w:color="auto"/>
            <w:left w:val="none" w:sz="0" w:space="0" w:color="auto"/>
            <w:bottom w:val="none" w:sz="0" w:space="0" w:color="auto"/>
            <w:right w:val="none" w:sz="0" w:space="0" w:color="auto"/>
          </w:divBdr>
        </w:div>
        <w:div w:id="1875383658">
          <w:marLeft w:val="0"/>
          <w:marRight w:val="0"/>
          <w:marTop w:val="0"/>
          <w:marBottom w:val="0"/>
          <w:divBdr>
            <w:top w:val="none" w:sz="0" w:space="0" w:color="auto"/>
            <w:left w:val="none" w:sz="0" w:space="0" w:color="auto"/>
            <w:bottom w:val="none" w:sz="0" w:space="0" w:color="auto"/>
            <w:right w:val="none" w:sz="0" w:space="0" w:color="auto"/>
          </w:divBdr>
        </w:div>
        <w:div w:id="1909614532">
          <w:marLeft w:val="0"/>
          <w:marRight w:val="0"/>
          <w:marTop w:val="0"/>
          <w:marBottom w:val="0"/>
          <w:divBdr>
            <w:top w:val="none" w:sz="0" w:space="0" w:color="auto"/>
            <w:left w:val="none" w:sz="0" w:space="0" w:color="auto"/>
            <w:bottom w:val="none" w:sz="0" w:space="0" w:color="auto"/>
            <w:right w:val="none" w:sz="0" w:space="0" w:color="auto"/>
          </w:divBdr>
        </w:div>
        <w:div w:id="1928032109">
          <w:marLeft w:val="0"/>
          <w:marRight w:val="0"/>
          <w:marTop w:val="0"/>
          <w:marBottom w:val="0"/>
          <w:divBdr>
            <w:top w:val="none" w:sz="0" w:space="0" w:color="auto"/>
            <w:left w:val="none" w:sz="0" w:space="0" w:color="auto"/>
            <w:bottom w:val="none" w:sz="0" w:space="0" w:color="auto"/>
            <w:right w:val="none" w:sz="0" w:space="0" w:color="auto"/>
          </w:divBdr>
        </w:div>
        <w:div w:id="1996760433">
          <w:marLeft w:val="0"/>
          <w:marRight w:val="0"/>
          <w:marTop w:val="0"/>
          <w:marBottom w:val="0"/>
          <w:divBdr>
            <w:top w:val="none" w:sz="0" w:space="0" w:color="auto"/>
            <w:left w:val="none" w:sz="0" w:space="0" w:color="auto"/>
            <w:bottom w:val="none" w:sz="0" w:space="0" w:color="auto"/>
            <w:right w:val="none" w:sz="0" w:space="0" w:color="auto"/>
          </w:divBdr>
        </w:div>
        <w:div w:id="2108187138">
          <w:marLeft w:val="0"/>
          <w:marRight w:val="0"/>
          <w:marTop w:val="0"/>
          <w:marBottom w:val="0"/>
          <w:divBdr>
            <w:top w:val="none" w:sz="0" w:space="0" w:color="auto"/>
            <w:left w:val="none" w:sz="0" w:space="0" w:color="auto"/>
            <w:bottom w:val="none" w:sz="0" w:space="0" w:color="auto"/>
            <w:right w:val="none" w:sz="0" w:space="0" w:color="auto"/>
          </w:divBdr>
        </w:div>
        <w:div w:id="2109545305">
          <w:marLeft w:val="0"/>
          <w:marRight w:val="0"/>
          <w:marTop w:val="0"/>
          <w:marBottom w:val="0"/>
          <w:divBdr>
            <w:top w:val="none" w:sz="0" w:space="0" w:color="auto"/>
            <w:left w:val="none" w:sz="0" w:space="0" w:color="auto"/>
            <w:bottom w:val="none" w:sz="0" w:space="0" w:color="auto"/>
            <w:right w:val="none" w:sz="0" w:space="0" w:color="auto"/>
          </w:divBdr>
        </w:div>
        <w:div w:id="2125343908">
          <w:marLeft w:val="0"/>
          <w:marRight w:val="0"/>
          <w:marTop w:val="0"/>
          <w:marBottom w:val="0"/>
          <w:divBdr>
            <w:top w:val="none" w:sz="0" w:space="0" w:color="auto"/>
            <w:left w:val="none" w:sz="0" w:space="0" w:color="auto"/>
            <w:bottom w:val="none" w:sz="0" w:space="0" w:color="auto"/>
            <w:right w:val="none" w:sz="0" w:space="0" w:color="auto"/>
          </w:divBdr>
        </w:div>
      </w:divsChild>
    </w:div>
    <w:div w:id="1520195213">
      <w:bodyDiv w:val="1"/>
      <w:marLeft w:val="0"/>
      <w:marRight w:val="0"/>
      <w:marTop w:val="0"/>
      <w:marBottom w:val="0"/>
      <w:divBdr>
        <w:top w:val="none" w:sz="0" w:space="0" w:color="auto"/>
        <w:left w:val="none" w:sz="0" w:space="0" w:color="auto"/>
        <w:bottom w:val="none" w:sz="0" w:space="0" w:color="auto"/>
        <w:right w:val="none" w:sz="0" w:space="0" w:color="auto"/>
      </w:divBdr>
    </w:div>
    <w:div w:id="1548293146">
      <w:bodyDiv w:val="1"/>
      <w:marLeft w:val="0"/>
      <w:marRight w:val="0"/>
      <w:marTop w:val="0"/>
      <w:marBottom w:val="0"/>
      <w:divBdr>
        <w:top w:val="none" w:sz="0" w:space="0" w:color="auto"/>
        <w:left w:val="none" w:sz="0" w:space="0" w:color="auto"/>
        <w:bottom w:val="none" w:sz="0" w:space="0" w:color="auto"/>
        <w:right w:val="none" w:sz="0" w:space="0" w:color="auto"/>
      </w:divBdr>
      <w:divsChild>
        <w:div w:id="47193589">
          <w:marLeft w:val="1627"/>
          <w:marRight w:val="0"/>
          <w:marTop w:val="180"/>
          <w:marBottom w:val="0"/>
          <w:divBdr>
            <w:top w:val="none" w:sz="0" w:space="0" w:color="auto"/>
            <w:left w:val="none" w:sz="0" w:space="0" w:color="auto"/>
            <w:bottom w:val="none" w:sz="0" w:space="0" w:color="auto"/>
            <w:right w:val="none" w:sz="0" w:space="0" w:color="auto"/>
          </w:divBdr>
        </w:div>
        <w:div w:id="68507296">
          <w:marLeft w:val="1627"/>
          <w:marRight w:val="0"/>
          <w:marTop w:val="180"/>
          <w:marBottom w:val="0"/>
          <w:divBdr>
            <w:top w:val="none" w:sz="0" w:space="0" w:color="auto"/>
            <w:left w:val="none" w:sz="0" w:space="0" w:color="auto"/>
            <w:bottom w:val="none" w:sz="0" w:space="0" w:color="auto"/>
            <w:right w:val="none" w:sz="0" w:space="0" w:color="auto"/>
          </w:divBdr>
        </w:div>
        <w:div w:id="581991216">
          <w:marLeft w:val="1627"/>
          <w:marRight w:val="0"/>
          <w:marTop w:val="180"/>
          <w:marBottom w:val="0"/>
          <w:divBdr>
            <w:top w:val="none" w:sz="0" w:space="0" w:color="auto"/>
            <w:left w:val="none" w:sz="0" w:space="0" w:color="auto"/>
            <w:bottom w:val="none" w:sz="0" w:space="0" w:color="auto"/>
            <w:right w:val="none" w:sz="0" w:space="0" w:color="auto"/>
          </w:divBdr>
        </w:div>
        <w:div w:id="774516925">
          <w:marLeft w:val="1627"/>
          <w:marRight w:val="0"/>
          <w:marTop w:val="180"/>
          <w:marBottom w:val="0"/>
          <w:divBdr>
            <w:top w:val="none" w:sz="0" w:space="0" w:color="auto"/>
            <w:left w:val="none" w:sz="0" w:space="0" w:color="auto"/>
            <w:bottom w:val="none" w:sz="0" w:space="0" w:color="auto"/>
            <w:right w:val="none" w:sz="0" w:space="0" w:color="auto"/>
          </w:divBdr>
        </w:div>
        <w:div w:id="969284076">
          <w:marLeft w:val="1627"/>
          <w:marRight w:val="0"/>
          <w:marTop w:val="180"/>
          <w:marBottom w:val="0"/>
          <w:divBdr>
            <w:top w:val="none" w:sz="0" w:space="0" w:color="auto"/>
            <w:left w:val="none" w:sz="0" w:space="0" w:color="auto"/>
            <w:bottom w:val="none" w:sz="0" w:space="0" w:color="auto"/>
            <w:right w:val="none" w:sz="0" w:space="0" w:color="auto"/>
          </w:divBdr>
        </w:div>
        <w:div w:id="1685471375">
          <w:marLeft w:val="1627"/>
          <w:marRight w:val="0"/>
          <w:marTop w:val="180"/>
          <w:marBottom w:val="0"/>
          <w:divBdr>
            <w:top w:val="none" w:sz="0" w:space="0" w:color="auto"/>
            <w:left w:val="none" w:sz="0" w:space="0" w:color="auto"/>
            <w:bottom w:val="none" w:sz="0" w:space="0" w:color="auto"/>
            <w:right w:val="none" w:sz="0" w:space="0" w:color="auto"/>
          </w:divBdr>
        </w:div>
      </w:divsChild>
    </w:div>
    <w:div w:id="1565604597">
      <w:bodyDiv w:val="1"/>
      <w:marLeft w:val="0"/>
      <w:marRight w:val="0"/>
      <w:marTop w:val="0"/>
      <w:marBottom w:val="0"/>
      <w:divBdr>
        <w:top w:val="none" w:sz="0" w:space="0" w:color="auto"/>
        <w:left w:val="none" w:sz="0" w:space="0" w:color="auto"/>
        <w:bottom w:val="none" w:sz="0" w:space="0" w:color="auto"/>
        <w:right w:val="none" w:sz="0" w:space="0" w:color="auto"/>
      </w:divBdr>
    </w:div>
    <w:div w:id="1565721331">
      <w:bodyDiv w:val="1"/>
      <w:marLeft w:val="0"/>
      <w:marRight w:val="0"/>
      <w:marTop w:val="0"/>
      <w:marBottom w:val="0"/>
      <w:divBdr>
        <w:top w:val="none" w:sz="0" w:space="0" w:color="auto"/>
        <w:left w:val="none" w:sz="0" w:space="0" w:color="auto"/>
        <w:bottom w:val="none" w:sz="0" w:space="0" w:color="auto"/>
        <w:right w:val="none" w:sz="0" w:space="0" w:color="auto"/>
      </w:divBdr>
    </w:div>
    <w:div w:id="1576354459">
      <w:bodyDiv w:val="1"/>
      <w:marLeft w:val="0"/>
      <w:marRight w:val="0"/>
      <w:marTop w:val="0"/>
      <w:marBottom w:val="0"/>
      <w:divBdr>
        <w:top w:val="none" w:sz="0" w:space="0" w:color="auto"/>
        <w:left w:val="none" w:sz="0" w:space="0" w:color="auto"/>
        <w:bottom w:val="none" w:sz="0" w:space="0" w:color="auto"/>
        <w:right w:val="none" w:sz="0" w:space="0" w:color="auto"/>
      </w:divBdr>
      <w:divsChild>
        <w:div w:id="1005859592">
          <w:marLeft w:val="677"/>
          <w:marRight w:val="0"/>
          <w:marTop w:val="0"/>
          <w:marBottom w:val="0"/>
          <w:divBdr>
            <w:top w:val="none" w:sz="0" w:space="0" w:color="auto"/>
            <w:left w:val="none" w:sz="0" w:space="0" w:color="auto"/>
            <w:bottom w:val="none" w:sz="0" w:space="0" w:color="auto"/>
            <w:right w:val="none" w:sz="0" w:space="0" w:color="auto"/>
          </w:divBdr>
        </w:div>
      </w:divsChild>
    </w:div>
    <w:div w:id="1580603856">
      <w:bodyDiv w:val="1"/>
      <w:marLeft w:val="0"/>
      <w:marRight w:val="0"/>
      <w:marTop w:val="0"/>
      <w:marBottom w:val="0"/>
      <w:divBdr>
        <w:top w:val="none" w:sz="0" w:space="0" w:color="auto"/>
        <w:left w:val="none" w:sz="0" w:space="0" w:color="auto"/>
        <w:bottom w:val="none" w:sz="0" w:space="0" w:color="auto"/>
        <w:right w:val="none" w:sz="0" w:space="0" w:color="auto"/>
      </w:divBdr>
    </w:div>
    <w:div w:id="1583875136">
      <w:bodyDiv w:val="1"/>
      <w:marLeft w:val="0"/>
      <w:marRight w:val="0"/>
      <w:marTop w:val="0"/>
      <w:marBottom w:val="0"/>
      <w:divBdr>
        <w:top w:val="none" w:sz="0" w:space="0" w:color="auto"/>
        <w:left w:val="none" w:sz="0" w:space="0" w:color="auto"/>
        <w:bottom w:val="none" w:sz="0" w:space="0" w:color="auto"/>
        <w:right w:val="none" w:sz="0" w:space="0" w:color="auto"/>
      </w:divBdr>
    </w:div>
    <w:div w:id="1592395562">
      <w:bodyDiv w:val="1"/>
      <w:marLeft w:val="0"/>
      <w:marRight w:val="0"/>
      <w:marTop w:val="0"/>
      <w:marBottom w:val="0"/>
      <w:divBdr>
        <w:top w:val="none" w:sz="0" w:space="0" w:color="auto"/>
        <w:left w:val="none" w:sz="0" w:space="0" w:color="auto"/>
        <w:bottom w:val="none" w:sz="0" w:space="0" w:color="auto"/>
        <w:right w:val="none" w:sz="0" w:space="0" w:color="auto"/>
      </w:divBdr>
      <w:divsChild>
        <w:div w:id="519584675">
          <w:marLeft w:val="1627"/>
          <w:marRight w:val="0"/>
          <w:marTop w:val="150"/>
          <w:marBottom w:val="180"/>
          <w:divBdr>
            <w:top w:val="none" w:sz="0" w:space="0" w:color="auto"/>
            <w:left w:val="none" w:sz="0" w:space="0" w:color="auto"/>
            <w:bottom w:val="none" w:sz="0" w:space="0" w:color="auto"/>
            <w:right w:val="none" w:sz="0" w:space="0" w:color="auto"/>
          </w:divBdr>
        </w:div>
        <w:div w:id="638613215">
          <w:marLeft w:val="1627"/>
          <w:marRight w:val="0"/>
          <w:marTop w:val="150"/>
          <w:marBottom w:val="180"/>
          <w:divBdr>
            <w:top w:val="none" w:sz="0" w:space="0" w:color="auto"/>
            <w:left w:val="none" w:sz="0" w:space="0" w:color="auto"/>
            <w:bottom w:val="none" w:sz="0" w:space="0" w:color="auto"/>
            <w:right w:val="none" w:sz="0" w:space="0" w:color="auto"/>
          </w:divBdr>
        </w:div>
        <w:div w:id="960377755">
          <w:marLeft w:val="1627"/>
          <w:marRight w:val="0"/>
          <w:marTop w:val="150"/>
          <w:marBottom w:val="180"/>
          <w:divBdr>
            <w:top w:val="none" w:sz="0" w:space="0" w:color="auto"/>
            <w:left w:val="none" w:sz="0" w:space="0" w:color="auto"/>
            <w:bottom w:val="none" w:sz="0" w:space="0" w:color="auto"/>
            <w:right w:val="none" w:sz="0" w:space="0" w:color="auto"/>
          </w:divBdr>
        </w:div>
        <w:div w:id="1370453442">
          <w:marLeft w:val="1627"/>
          <w:marRight w:val="0"/>
          <w:marTop w:val="150"/>
          <w:marBottom w:val="180"/>
          <w:divBdr>
            <w:top w:val="none" w:sz="0" w:space="0" w:color="auto"/>
            <w:left w:val="none" w:sz="0" w:space="0" w:color="auto"/>
            <w:bottom w:val="none" w:sz="0" w:space="0" w:color="auto"/>
            <w:right w:val="none" w:sz="0" w:space="0" w:color="auto"/>
          </w:divBdr>
        </w:div>
        <w:div w:id="1527600397">
          <w:marLeft w:val="1627"/>
          <w:marRight w:val="0"/>
          <w:marTop w:val="150"/>
          <w:marBottom w:val="180"/>
          <w:divBdr>
            <w:top w:val="none" w:sz="0" w:space="0" w:color="auto"/>
            <w:left w:val="none" w:sz="0" w:space="0" w:color="auto"/>
            <w:bottom w:val="none" w:sz="0" w:space="0" w:color="auto"/>
            <w:right w:val="none" w:sz="0" w:space="0" w:color="auto"/>
          </w:divBdr>
        </w:div>
        <w:div w:id="1700936238">
          <w:marLeft w:val="1627"/>
          <w:marRight w:val="0"/>
          <w:marTop w:val="150"/>
          <w:marBottom w:val="180"/>
          <w:divBdr>
            <w:top w:val="none" w:sz="0" w:space="0" w:color="auto"/>
            <w:left w:val="none" w:sz="0" w:space="0" w:color="auto"/>
            <w:bottom w:val="none" w:sz="0" w:space="0" w:color="auto"/>
            <w:right w:val="none" w:sz="0" w:space="0" w:color="auto"/>
          </w:divBdr>
        </w:div>
        <w:div w:id="1716271894">
          <w:marLeft w:val="1627"/>
          <w:marRight w:val="0"/>
          <w:marTop w:val="150"/>
          <w:marBottom w:val="180"/>
          <w:divBdr>
            <w:top w:val="none" w:sz="0" w:space="0" w:color="auto"/>
            <w:left w:val="none" w:sz="0" w:space="0" w:color="auto"/>
            <w:bottom w:val="none" w:sz="0" w:space="0" w:color="auto"/>
            <w:right w:val="none" w:sz="0" w:space="0" w:color="auto"/>
          </w:divBdr>
        </w:div>
        <w:div w:id="2034763430">
          <w:marLeft w:val="1627"/>
          <w:marRight w:val="0"/>
          <w:marTop w:val="150"/>
          <w:marBottom w:val="180"/>
          <w:divBdr>
            <w:top w:val="none" w:sz="0" w:space="0" w:color="auto"/>
            <w:left w:val="none" w:sz="0" w:space="0" w:color="auto"/>
            <w:bottom w:val="none" w:sz="0" w:space="0" w:color="auto"/>
            <w:right w:val="none" w:sz="0" w:space="0" w:color="auto"/>
          </w:divBdr>
        </w:div>
      </w:divsChild>
    </w:div>
    <w:div w:id="1624190924">
      <w:bodyDiv w:val="1"/>
      <w:marLeft w:val="0"/>
      <w:marRight w:val="0"/>
      <w:marTop w:val="0"/>
      <w:marBottom w:val="0"/>
      <w:divBdr>
        <w:top w:val="none" w:sz="0" w:space="0" w:color="auto"/>
        <w:left w:val="none" w:sz="0" w:space="0" w:color="auto"/>
        <w:bottom w:val="none" w:sz="0" w:space="0" w:color="auto"/>
        <w:right w:val="none" w:sz="0" w:space="0" w:color="auto"/>
      </w:divBdr>
    </w:div>
    <w:div w:id="1625579600">
      <w:bodyDiv w:val="1"/>
      <w:marLeft w:val="0"/>
      <w:marRight w:val="0"/>
      <w:marTop w:val="0"/>
      <w:marBottom w:val="0"/>
      <w:divBdr>
        <w:top w:val="none" w:sz="0" w:space="0" w:color="auto"/>
        <w:left w:val="none" w:sz="0" w:space="0" w:color="auto"/>
        <w:bottom w:val="none" w:sz="0" w:space="0" w:color="auto"/>
        <w:right w:val="none" w:sz="0" w:space="0" w:color="auto"/>
      </w:divBdr>
    </w:div>
    <w:div w:id="1658722690">
      <w:bodyDiv w:val="1"/>
      <w:marLeft w:val="0"/>
      <w:marRight w:val="0"/>
      <w:marTop w:val="0"/>
      <w:marBottom w:val="0"/>
      <w:divBdr>
        <w:top w:val="none" w:sz="0" w:space="0" w:color="auto"/>
        <w:left w:val="none" w:sz="0" w:space="0" w:color="auto"/>
        <w:bottom w:val="none" w:sz="0" w:space="0" w:color="auto"/>
        <w:right w:val="none" w:sz="0" w:space="0" w:color="auto"/>
      </w:divBdr>
    </w:div>
    <w:div w:id="1680038005">
      <w:bodyDiv w:val="1"/>
      <w:marLeft w:val="0"/>
      <w:marRight w:val="0"/>
      <w:marTop w:val="0"/>
      <w:marBottom w:val="0"/>
      <w:divBdr>
        <w:top w:val="none" w:sz="0" w:space="0" w:color="auto"/>
        <w:left w:val="none" w:sz="0" w:space="0" w:color="auto"/>
        <w:bottom w:val="none" w:sz="0" w:space="0" w:color="auto"/>
        <w:right w:val="none" w:sz="0" w:space="0" w:color="auto"/>
      </w:divBdr>
    </w:div>
    <w:div w:id="1700935883">
      <w:bodyDiv w:val="1"/>
      <w:marLeft w:val="0"/>
      <w:marRight w:val="0"/>
      <w:marTop w:val="0"/>
      <w:marBottom w:val="0"/>
      <w:divBdr>
        <w:top w:val="none" w:sz="0" w:space="0" w:color="auto"/>
        <w:left w:val="none" w:sz="0" w:space="0" w:color="auto"/>
        <w:bottom w:val="none" w:sz="0" w:space="0" w:color="auto"/>
        <w:right w:val="none" w:sz="0" w:space="0" w:color="auto"/>
      </w:divBdr>
    </w:div>
    <w:div w:id="1728139017">
      <w:bodyDiv w:val="1"/>
      <w:marLeft w:val="0"/>
      <w:marRight w:val="0"/>
      <w:marTop w:val="0"/>
      <w:marBottom w:val="0"/>
      <w:divBdr>
        <w:top w:val="none" w:sz="0" w:space="0" w:color="auto"/>
        <w:left w:val="none" w:sz="0" w:space="0" w:color="auto"/>
        <w:bottom w:val="none" w:sz="0" w:space="0" w:color="auto"/>
        <w:right w:val="none" w:sz="0" w:space="0" w:color="auto"/>
      </w:divBdr>
    </w:div>
    <w:div w:id="1734544523">
      <w:bodyDiv w:val="1"/>
      <w:marLeft w:val="0"/>
      <w:marRight w:val="0"/>
      <w:marTop w:val="0"/>
      <w:marBottom w:val="0"/>
      <w:divBdr>
        <w:top w:val="none" w:sz="0" w:space="0" w:color="auto"/>
        <w:left w:val="none" w:sz="0" w:space="0" w:color="auto"/>
        <w:bottom w:val="none" w:sz="0" w:space="0" w:color="auto"/>
        <w:right w:val="none" w:sz="0" w:space="0" w:color="auto"/>
      </w:divBdr>
    </w:div>
    <w:div w:id="1740206748">
      <w:bodyDiv w:val="1"/>
      <w:marLeft w:val="0"/>
      <w:marRight w:val="0"/>
      <w:marTop w:val="0"/>
      <w:marBottom w:val="0"/>
      <w:divBdr>
        <w:top w:val="none" w:sz="0" w:space="0" w:color="auto"/>
        <w:left w:val="none" w:sz="0" w:space="0" w:color="auto"/>
        <w:bottom w:val="none" w:sz="0" w:space="0" w:color="auto"/>
        <w:right w:val="none" w:sz="0" w:space="0" w:color="auto"/>
      </w:divBdr>
      <w:divsChild>
        <w:div w:id="1044527868">
          <w:marLeft w:val="1627"/>
          <w:marRight w:val="0"/>
          <w:marTop w:val="150"/>
          <w:marBottom w:val="0"/>
          <w:divBdr>
            <w:top w:val="none" w:sz="0" w:space="0" w:color="auto"/>
            <w:left w:val="none" w:sz="0" w:space="0" w:color="auto"/>
            <w:bottom w:val="none" w:sz="0" w:space="0" w:color="auto"/>
            <w:right w:val="none" w:sz="0" w:space="0" w:color="auto"/>
          </w:divBdr>
        </w:div>
      </w:divsChild>
    </w:div>
    <w:div w:id="1746877023">
      <w:bodyDiv w:val="1"/>
      <w:marLeft w:val="0"/>
      <w:marRight w:val="0"/>
      <w:marTop w:val="0"/>
      <w:marBottom w:val="0"/>
      <w:divBdr>
        <w:top w:val="none" w:sz="0" w:space="0" w:color="auto"/>
        <w:left w:val="none" w:sz="0" w:space="0" w:color="auto"/>
        <w:bottom w:val="none" w:sz="0" w:space="0" w:color="auto"/>
        <w:right w:val="none" w:sz="0" w:space="0" w:color="auto"/>
      </w:divBdr>
    </w:div>
    <w:div w:id="1765108779">
      <w:bodyDiv w:val="1"/>
      <w:marLeft w:val="0"/>
      <w:marRight w:val="0"/>
      <w:marTop w:val="0"/>
      <w:marBottom w:val="0"/>
      <w:divBdr>
        <w:top w:val="none" w:sz="0" w:space="0" w:color="auto"/>
        <w:left w:val="none" w:sz="0" w:space="0" w:color="auto"/>
        <w:bottom w:val="none" w:sz="0" w:space="0" w:color="auto"/>
        <w:right w:val="none" w:sz="0" w:space="0" w:color="auto"/>
      </w:divBdr>
      <w:divsChild>
        <w:div w:id="104811765">
          <w:marLeft w:val="1627"/>
          <w:marRight w:val="0"/>
          <w:marTop w:val="150"/>
          <w:marBottom w:val="0"/>
          <w:divBdr>
            <w:top w:val="none" w:sz="0" w:space="0" w:color="auto"/>
            <w:left w:val="none" w:sz="0" w:space="0" w:color="auto"/>
            <w:bottom w:val="none" w:sz="0" w:space="0" w:color="auto"/>
            <w:right w:val="none" w:sz="0" w:space="0" w:color="auto"/>
          </w:divBdr>
        </w:div>
        <w:div w:id="296299338">
          <w:marLeft w:val="1627"/>
          <w:marRight w:val="0"/>
          <w:marTop w:val="150"/>
          <w:marBottom w:val="0"/>
          <w:divBdr>
            <w:top w:val="none" w:sz="0" w:space="0" w:color="auto"/>
            <w:left w:val="none" w:sz="0" w:space="0" w:color="auto"/>
            <w:bottom w:val="none" w:sz="0" w:space="0" w:color="auto"/>
            <w:right w:val="none" w:sz="0" w:space="0" w:color="auto"/>
          </w:divBdr>
        </w:div>
        <w:div w:id="510872504">
          <w:marLeft w:val="1627"/>
          <w:marRight w:val="0"/>
          <w:marTop w:val="150"/>
          <w:marBottom w:val="0"/>
          <w:divBdr>
            <w:top w:val="none" w:sz="0" w:space="0" w:color="auto"/>
            <w:left w:val="none" w:sz="0" w:space="0" w:color="auto"/>
            <w:bottom w:val="none" w:sz="0" w:space="0" w:color="auto"/>
            <w:right w:val="none" w:sz="0" w:space="0" w:color="auto"/>
          </w:divBdr>
        </w:div>
        <w:div w:id="861361759">
          <w:marLeft w:val="1627"/>
          <w:marRight w:val="0"/>
          <w:marTop w:val="150"/>
          <w:marBottom w:val="0"/>
          <w:divBdr>
            <w:top w:val="none" w:sz="0" w:space="0" w:color="auto"/>
            <w:left w:val="none" w:sz="0" w:space="0" w:color="auto"/>
            <w:bottom w:val="none" w:sz="0" w:space="0" w:color="auto"/>
            <w:right w:val="none" w:sz="0" w:space="0" w:color="auto"/>
          </w:divBdr>
        </w:div>
        <w:div w:id="1238007675">
          <w:marLeft w:val="1627"/>
          <w:marRight w:val="0"/>
          <w:marTop w:val="150"/>
          <w:marBottom w:val="0"/>
          <w:divBdr>
            <w:top w:val="none" w:sz="0" w:space="0" w:color="auto"/>
            <w:left w:val="none" w:sz="0" w:space="0" w:color="auto"/>
            <w:bottom w:val="none" w:sz="0" w:space="0" w:color="auto"/>
            <w:right w:val="none" w:sz="0" w:space="0" w:color="auto"/>
          </w:divBdr>
        </w:div>
        <w:div w:id="1680692708">
          <w:marLeft w:val="1627"/>
          <w:marRight w:val="0"/>
          <w:marTop w:val="150"/>
          <w:marBottom w:val="0"/>
          <w:divBdr>
            <w:top w:val="none" w:sz="0" w:space="0" w:color="auto"/>
            <w:left w:val="none" w:sz="0" w:space="0" w:color="auto"/>
            <w:bottom w:val="none" w:sz="0" w:space="0" w:color="auto"/>
            <w:right w:val="none" w:sz="0" w:space="0" w:color="auto"/>
          </w:divBdr>
        </w:div>
        <w:div w:id="1831017753">
          <w:marLeft w:val="1627"/>
          <w:marRight w:val="0"/>
          <w:marTop w:val="150"/>
          <w:marBottom w:val="0"/>
          <w:divBdr>
            <w:top w:val="none" w:sz="0" w:space="0" w:color="auto"/>
            <w:left w:val="none" w:sz="0" w:space="0" w:color="auto"/>
            <w:bottom w:val="none" w:sz="0" w:space="0" w:color="auto"/>
            <w:right w:val="none" w:sz="0" w:space="0" w:color="auto"/>
          </w:divBdr>
        </w:div>
      </w:divsChild>
    </w:div>
    <w:div w:id="1778599647">
      <w:bodyDiv w:val="1"/>
      <w:marLeft w:val="0"/>
      <w:marRight w:val="0"/>
      <w:marTop w:val="0"/>
      <w:marBottom w:val="0"/>
      <w:divBdr>
        <w:top w:val="none" w:sz="0" w:space="0" w:color="auto"/>
        <w:left w:val="none" w:sz="0" w:space="0" w:color="auto"/>
        <w:bottom w:val="none" w:sz="0" w:space="0" w:color="auto"/>
        <w:right w:val="none" w:sz="0" w:space="0" w:color="auto"/>
      </w:divBdr>
    </w:div>
    <w:div w:id="1788428823">
      <w:bodyDiv w:val="1"/>
      <w:marLeft w:val="0"/>
      <w:marRight w:val="0"/>
      <w:marTop w:val="0"/>
      <w:marBottom w:val="0"/>
      <w:divBdr>
        <w:top w:val="none" w:sz="0" w:space="0" w:color="auto"/>
        <w:left w:val="none" w:sz="0" w:space="0" w:color="auto"/>
        <w:bottom w:val="none" w:sz="0" w:space="0" w:color="auto"/>
        <w:right w:val="none" w:sz="0" w:space="0" w:color="auto"/>
      </w:divBdr>
    </w:div>
    <w:div w:id="1798067458">
      <w:bodyDiv w:val="1"/>
      <w:marLeft w:val="0"/>
      <w:marRight w:val="0"/>
      <w:marTop w:val="0"/>
      <w:marBottom w:val="0"/>
      <w:divBdr>
        <w:top w:val="none" w:sz="0" w:space="0" w:color="auto"/>
        <w:left w:val="none" w:sz="0" w:space="0" w:color="auto"/>
        <w:bottom w:val="none" w:sz="0" w:space="0" w:color="auto"/>
        <w:right w:val="none" w:sz="0" w:space="0" w:color="auto"/>
      </w:divBdr>
    </w:div>
    <w:div w:id="1831828647">
      <w:bodyDiv w:val="1"/>
      <w:marLeft w:val="0"/>
      <w:marRight w:val="0"/>
      <w:marTop w:val="0"/>
      <w:marBottom w:val="0"/>
      <w:divBdr>
        <w:top w:val="none" w:sz="0" w:space="0" w:color="auto"/>
        <w:left w:val="none" w:sz="0" w:space="0" w:color="auto"/>
        <w:bottom w:val="none" w:sz="0" w:space="0" w:color="auto"/>
        <w:right w:val="none" w:sz="0" w:space="0" w:color="auto"/>
      </w:divBdr>
      <w:divsChild>
        <w:div w:id="919294601">
          <w:marLeft w:val="1627"/>
          <w:marRight w:val="0"/>
          <w:marTop w:val="150"/>
          <w:marBottom w:val="0"/>
          <w:divBdr>
            <w:top w:val="none" w:sz="0" w:space="0" w:color="auto"/>
            <w:left w:val="none" w:sz="0" w:space="0" w:color="auto"/>
            <w:bottom w:val="none" w:sz="0" w:space="0" w:color="auto"/>
            <w:right w:val="none" w:sz="0" w:space="0" w:color="auto"/>
          </w:divBdr>
        </w:div>
        <w:div w:id="1681345587">
          <w:marLeft w:val="1627"/>
          <w:marRight w:val="0"/>
          <w:marTop w:val="150"/>
          <w:marBottom w:val="0"/>
          <w:divBdr>
            <w:top w:val="none" w:sz="0" w:space="0" w:color="auto"/>
            <w:left w:val="none" w:sz="0" w:space="0" w:color="auto"/>
            <w:bottom w:val="none" w:sz="0" w:space="0" w:color="auto"/>
            <w:right w:val="none" w:sz="0" w:space="0" w:color="auto"/>
          </w:divBdr>
        </w:div>
        <w:div w:id="1860467936">
          <w:marLeft w:val="1627"/>
          <w:marRight w:val="0"/>
          <w:marTop w:val="150"/>
          <w:marBottom w:val="0"/>
          <w:divBdr>
            <w:top w:val="none" w:sz="0" w:space="0" w:color="auto"/>
            <w:left w:val="none" w:sz="0" w:space="0" w:color="auto"/>
            <w:bottom w:val="none" w:sz="0" w:space="0" w:color="auto"/>
            <w:right w:val="none" w:sz="0" w:space="0" w:color="auto"/>
          </w:divBdr>
        </w:div>
      </w:divsChild>
    </w:div>
    <w:div w:id="1840928761">
      <w:bodyDiv w:val="1"/>
      <w:marLeft w:val="0"/>
      <w:marRight w:val="0"/>
      <w:marTop w:val="0"/>
      <w:marBottom w:val="0"/>
      <w:divBdr>
        <w:top w:val="none" w:sz="0" w:space="0" w:color="auto"/>
        <w:left w:val="none" w:sz="0" w:space="0" w:color="auto"/>
        <w:bottom w:val="none" w:sz="0" w:space="0" w:color="auto"/>
        <w:right w:val="none" w:sz="0" w:space="0" w:color="auto"/>
      </w:divBdr>
    </w:div>
    <w:div w:id="1844276062">
      <w:bodyDiv w:val="1"/>
      <w:marLeft w:val="0"/>
      <w:marRight w:val="0"/>
      <w:marTop w:val="0"/>
      <w:marBottom w:val="0"/>
      <w:divBdr>
        <w:top w:val="none" w:sz="0" w:space="0" w:color="auto"/>
        <w:left w:val="none" w:sz="0" w:space="0" w:color="auto"/>
        <w:bottom w:val="none" w:sz="0" w:space="0" w:color="auto"/>
        <w:right w:val="none" w:sz="0" w:space="0" w:color="auto"/>
      </w:divBdr>
    </w:div>
    <w:div w:id="1849175441">
      <w:bodyDiv w:val="1"/>
      <w:marLeft w:val="0"/>
      <w:marRight w:val="0"/>
      <w:marTop w:val="0"/>
      <w:marBottom w:val="0"/>
      <w:divBdr>
        <w:top w:val="none" w:sz="0" w:space="0" w:color="auto"/>
        <w:left w:val="none" w:sz="0" w:space="0" w:color="auto"/>
        <w:bottom w:val="none" w:sz="0" w:space="0" w:color="auto"/>
        <w:right w:val="none" w:sz="0" w:space="0" w:color="auto"/>
      </w:divBdr>
    </w:div>
    <w:div w:id="1868903437">
      <w:bodyDiv w:val="1"/>
      <w:marLeft w:val="0"/>
      <w:marRight w:val="0"/>
      <w:marTop w:val="0"/>
      <w:marBottom w:val="0"/>
      <w:divBdr>
        <w:top w:val="none" w:sz="0" w:space="0" w:color="auto"/>
        <w:left w:val="none" w:sz="0" w:space="0" w:color="auto"/>
        <w:bottom w:val="none" w:sz="0" w:space="0" w:color="auto"/>
        <w:right w:val="none" w:sz="0" w:space="0" w:color="auto"/>
      </w:divBdr>
    </w:div>
    <w:div w:id="1902594387">
      <w:bodyDiv w:val="1"/>
      <w:marLeft w:val="0"/>
      <w:marRight w:val="0"/>
      <w:marTop w:val="0"/>
      <w:marBottom w:val="0"/>
      <w:divBdr>
        <w:top w:val="none" w:sz="0" w:space="0" w:color="auto"/>
        <w:left w:val="none" w:sz="0" w:space="0" w:color="auto"/>
        <w:bottom w:val="none" w:sz="0" w:space="0" w:color="auto"/>
        <w:right w:val="none" w:sz="0" w:space="0" w:color="auto"/>
      </w:divBdr>
    </w:div>
    <w:div w:id="1926458312">
      <w:bodyDiv w:val="1"/>
      <w:marLeft w:val="0"/>
      <w:marRight w:val="0"/>
      <w:marTop w:val="0"/>
      <w:marBottom w:val="0"/>
      <w:divBdr>
        <w:top w:val="none" w:sz="0" w:space="0" w:color="auto"/>
        <w:left w:val="none" w:sz="0" w:space="0" w:color="auto"/>
        <w:bottom w:val="none" w:sz="0" w:space="0" w:color="auto"/>
        <w:right w:val="none" w:sz="0" w:space="0" w:color="auto"/>
      </w:divBdr>
      <w:divsChild>
        <w:div w:id="152919749">
          <w:marLeft w:val="1627"/>
          <w:marRight w:val="0"/>
          <w:marTop w:val="150"/>
          <w:marBottom w:val="180"/>
          <w:divBdr>
            <w:top w:val="none" w:sz="0" w:space="0" w:color="auto"/>
            <w:left w:val="none" w:sz="0" w:space="0" w:color="auto"/>
            <w:bottom w:val="none" w:sz="0" w:space="0" w:color="auto"/>
            <w:right w:val="none" w:sz="0" w:space="0" w:color="auto"/>
          </w:divBdr>
        </w:div>
        <w:div w:id="301345595">
          <w:marLeft w:val="1627"/>
          <w:marRight w:val="0"/>
          <w:marTop w:val="150"/>
          <w:marBottom w:val="180"/>
          <w:divBdr>
            <w:top w:val="none" w:sz="0" w:space="0" w:color="auto"/>
            <w:left w:val="none" w:sz="0" w:space="0" w:color="auto"/>
            <w:bottom w:val="none" w:sz="0" w:space="0" w:color="auto"/>
            <w:right w:val="none" w:sz="0" w:space="0" w:color="auto"/>
          </w:divBdr>
        </w:div>
        <w:div w:id="627517055">
          <w:marLeft w:val="1627"/>
          <w:marRight w:val="0"/>
          <w:marTop w:val="150"/>
          <w:marBottom w:val="180"/>
          <w:divBdr>
            <w:top w:val="none" w:sz="0" w:space="0" w:color="auto"/>
            <w:left w:val="none" w:sz="0" w:space="0" w:color="auto"/>
            <w:bottom w:val="none" w:sz="0" w:space="0" w:color="auto"/>
            <w:right w:val="none" w:sz="0" w:space="0" w:color="auto"/>
          </w:divBdr>
        </w:div>
        <w:div w:id="704868249">
          <w:marLeft w:val="1627"/>
          <w:marRight w:val="0"/>
          <w:marTop w:val="150"/>
          <w:marBottom w:val="180"/>
          <w:divBdr>
            <w:top w:val="none" w:sz="0" w:space="0" w:color="auto"/>
            <w:left w:val="none" w:sz="0" w:space="0" w:color="auto"/>
            <w:bottom w:val="none" w:sz="0" w:space="0" w:color="auto"/>
            <w:right w:val="none" w:sz="0" w:space="0" w:color="auto"/>
          </w:divBdr>
        </w:div>
        <w:div w:id="1173648101">
          <w:marLeft w:val="1627"/>
          <w:marRight w:val="0"/>
          <w:marTop w:val="150"/>
          <w:marBottom w:val="180"/>
          <w:divBdr>
            <w:top w:val="none" w:sz="0" w:space="0" w:color="auto"/>
            <w:left w:val="none" w:sz="0" w:space="0" w:color="auto"/>
            <w:bottom w:val="none" w:sz="0" w:space="0" w:color="auto"/>
            <w:right w:val="none" w:sz="0" w:space="0" w:color="auto"/>
          </w:divBdr>
        </w:div>
        <w:div w:id="1664117262">
          <w:marLeft w:val="1627"/>
          <w:marRight w:val="0"/>
          <w:marTop w:val="150"/>
          <w:marBottom w:val="180"/>
          <w:divBdr>
            <w:top w:val="none" w:sz="0" w:space="0" w:color="auto"/>
            <w:left w:val="none" w:sz="0" w:space="0" w:color="auto"/>
            <w:bottom w:val="none" w:sz="0" w:space="0" w:color="auto"/>
            <w:right w:val="none" w:sz="0" w:space="0" w:color="auto"/>
          </w:divBdr>
        </w:div>
        <w:div w:id="2042052441">
          <w:marLeft w:val="1627"/>
          <w:marRight w:val="0"/>
          <w:marTop w:val="150"/>
          <w:marBottom w:val="180"/>
          <w:divBdr>
            <w:top w:val="none" w:sz="0" w:space="0" w:color="auto"/>
            <w:left w:val="none" w:sz="0" w:space="0" w:color="auto"/>
            <w:bottom w:val="none" w:sz="0" w:space="0" w:color="auto"/>
            <w:right w:val="none" w:sz="0" w:space="0" w:color="auto"/>
          </w:divBdr>
        </w:div>
        <w:div w:id="2133866019">
          <w:marLeft w:val="1627"/>
          <w:marRight w:val="0"/>
          <w:marTop w:val="150"/>
          <w:marBottom w:val="180"/>
          <w:divBdr>
            <w:top w:val="none" w:sz="0" w:space="0" w:color="auto"/>
            <w:left w:val="none" w:sz="0" w:space="0" w:color="auto"/>
            <w:bottom w:val="none" w:sz="0" w:space="0" w:color="auto"/>
            <w:right w:val="none" w:sz="0" w:space="0" w:color="auto"/>
          </w:divBdr>
        </w:div>
      </w:divsChild>
    </w:div>
    <w:div w:id="1936551599">
      <w:bodyDiv w:val="1"/>
      <w:marLeft w:val="0"/>
      <w:marRight w:val="0"/>
      <w:marTop w:val="0"/>
      <w:marBottom w:val="0"/>
      <w:divBdr>
        <w:top w:val="none" w:sz="0" w:space="0" w:color="auto"/>
        <w:left w:val="none" w:sz="0" w:space="0" w:color="auto"/>
        <w:bottom w:val="none" w:sz="0" w:space="0" w:color="auto"/>
        <w:right w:val="none" w:sz="0" w:space="0" w:color="auto"/>
      </w:divBdr>
    </w:div>
    <w:div w:id="1942909982">
      <w:bodyDiv w:val="1"/>
      <w:marLeft w:val="0"/>
      <w:marRight w:val="0"/>
      <w:marTop w:val="0"/>
      <w:marBottom w:val="0"/>
      <w:divBdr>
        <w:top w:val="none" w:sz="0" w:space="0" w:color="auto"/>
        <w:left w:val="none" w:sz="0" w:space="0" w:color="auto"/>
        <w:bottom w:val="none" w:sz="0" w:space="0" w:color="auto"/>
        <w:right w:val="none" w:sz="0" w:space="0" w:color="auto"/>
      </w:divBdr>
    </w:div>
    <w:div w:id="1959137606">
      <w:bodyDiv w:val="1"/>
      <w:marLeft w:val="0"/>
      <w:marRight w:val="0"/>
      <w:marTop w:val="0"/>
      <w:marBottom w:val="0"/>
      <w:divBdr>
        <w:top w:val="none" w:sz="0" w:space="0" w:color="auto"/>
        <w:left w:val="none" w:sz="0" w:space="0" w:color="auto"/>
        <w:bottom w:val="none" w:sz="0" w:space="0" w:color="auto"/>
        <w:right w:val="none" w:sz="0" w:space="0" w:color="auto"/>
      </w:divBdr>
    </w:div>
    <w:div w:id="1960992418">
      <w:bodyDiv w:val="1"/>
      <w:marLeft w:val="0"/>
      <w:marRight w:val="0"/>
      <w:marTop w:val="0"/>
      <w:marBottom w:val="0"/>
      <w:divBdr>
        <w:top w:val="none" w:sz="0" w:space="0" w:color="auto"/>
        <w:left w:val="none" w:sz="0" w:space="0" w:color="auto"/>
        <w:bottom w:val="none" w:sz="0" w:space="0" w:color="auto"/>
        <w:right w:val="none" w:sz="0" w:space="0" w:color="auto"/>
      </w:divBdr>
    </w:div>
    <w:div w:id="1966428341">
      <w:bodyDiv w:val="1"/>
      <w:marLeft w:val="0"/>
      <w:marRight w:val="0"/>
      <w:marTop w:val="0"/>
      <w:marBottom w:val="0"/>
      <w:divBdr>
        <w:top w:val="none" w:sz="0" w:space="0" w:color="auto"/>
        <w:left w:val="none" w:sz="0" w:space="0" w:color="auto"/>
        <w:bottom w:val="none" w:sz="0" w:space="0" w:color="auto"/>
        <w:right w:val="none" w:sz="0" w:space="0" w:color="auto"/>
      </w:divBdr>
      <w:divsChild>
        <w:div w:id="234704965">
          <w:marLeft w:val="547"/>
          <w:marRight w:val="0"/>
          <w:marTop w:val="300"/>
          <w:marBottom w:val="0"/>
          <w:divBdr>
            <w:top w:val="none" w:sz="0" w:space="0" w:color="auto"/>
            <w:left w:val="none" w:sz="0" w:space="0" w:color="auto"/>
            <w:bottom w:val="none" w:sz="0" w:space="0" w:color="auto"/>
            <w:right w:val="none" w:sz="0" w:space="0" w:color="auto"/>
          </w:divBdr>
        </w:div>
        <w:div w:id="806513598">
          <w:marLeft w:val="547"/>
          <w:marRight w:val="0"/>
          <w:marTop w:val="300"/>
          <w:marBottom w:val="0"/>
          <w:divBdr>
            <w:top w:val="none" w:sz="0" w:space="0" w:color="auto"/>
            <w:left w:val="none" w:sz="0" w:space="0" w:color="auto"/>
            <w:bottom w:val="none" w:sz="0" w:space="0" w:color="auto"/>
            <w:right w:val="none" w:sz="0" w:space="0" w:color="auto"/>
          </w:divBdr>
        </w:div>
        <w:div w:id="961495993">
          <w:marLeft w:val="547"/>
          <w:marRight w:val="0"/>
          <w:marTop w:val="300"/>
          <w:marBottom w:val="0"/>
          <w:divBdr>
            <w:top w:val="none" w:sz="0" w:space="0" w:color="auto"/>
            <w:left w:val="none" w:sz="0" w:space="0" w:color="auto"/>
            <w:bottom w:val="none" w:sz="0" w:space="0" w:color="auto"/>
            <w:right w:val="none" w:sz="0" w:space="0" w:color="auto"/>
          </w:divBdr>
        </w:div>
        <w:div w:id="1209606246">
          <w:marLeft w:val="547"/>
          <w:marRight w:val="0"/>
          <w:marTop w:val="300"/>
          <w:marBottom w:val="0"/>
          <w:divBdr>
            <w:top w:val="none" w:sz="0" w:space="0" w:color="auto"/>
            <w:left w:val="none" w:sz="0" w:space="0" w:color="auto"/>
            <w:bottom w:val="none" w:sz="0" w:space="0" w:color="auto"/>
            <w:right w:val="none" w:sz="0" w:space="0" w:color="auto"/>
          </w:divBdr>
        </w:div>
        <w:div w:id="1851019836">
          <w:marLeft w:val="547"/>
          <w:marRight w:val="0"/>
          <w:marTop w:val="300"/>
          <w:marBottom w:val="0"/>
          <w:divBdr>
            <w:top w:val="none" w:sz="0" w:space="0" w:color="auto"/>
            <w:left w:val="none" w:sz="0" w:space="0" w:color="auto"/>
            <w:bottom w:val="none" w:sz="0" w:space="0" w:color="auto"/>
            <w:right w:val="none" w:sz="0" w:space="0" w:color="auto"/>
          </w:divBdr>
        </w:div>
      </w:divsChild>
    </w:div>
    <w:div w:id="1981156987">
      <w:bodyDiv w:val="1"/>
      <w:marLeft w:val="0"/>
      <w:marRight w:val="0"/>
      <w:marTop w:val="0"/>
      <w:marBottom w:val="0"/>
      <w:divBdr>
        <w:top w:val="none" w:sz="0" w:space="0" w:color="auto"/>
        <w:left w:val="none" w:sz="0" w:space="0" w:color="auto"/>
        <w:bottom w:val="none" w:sz="0" w:space="0" w:color="auto"/>
        <w:right w:val="none" w:sz="0" w:space="0" w:color="auto"/>
      </w:divBdr>
    </w:div>
    <w:div w:id="2012441480">
      <w:bodyDiv w:val="1"/>
      <w:marLeft w:val="0"/>
      <w:marRight w:val="0"/>
      <w:marTop w:val="0"/>
      <w:marBottom w:val="0"/>
      <w:divBdr>
        <w:top w:val="none" w:sz="0" w:space="0" w:color="auto"/>
        <w:left w:val="none" w:sz="0" w:space="0" w:color="auto"/>
        <w:bottom w:val="none" w:sz="0" w:space="0" w:color="auto"/>
        <w:right w:val="none" w:sz="0" w:space="0" w:color="auto"/>
      </w:divBdr>
    </w:div>
    <w:div w:id="2044860557">
      <w:bodyDiv w:val="1"/>
      <w:marLeft w:val="0"/>
      <w:marRight w:val="0"/>
      <w:marTop w:val="0"/>
      <w:marBottom w:val="0"/>
      <w:divBdr>
        <w:top w:val="none" w:sz="0" w:space="0" w:color="auto"/>
        <w:left w:val="none" w:sz="0" w:space="0" w:color="auto"/>
        <w:bottom w:val="none" w:sz="0" w:space="0" w:color="auto"/>
        <w:right w:val="none" w:sz="0" w:space="0" w:color="auto"/>
      </w:divBdr>
    </w:div>
    <w:div w:id="2046905330">
      <w:bodyDiv w:val="1"/>
      <w:marLeft w:val="0"/>
      <w:marRight w:val="0"/>
      <w:marTop w:val="0"/>
      <w:marBottom w:val="0"/>
      <w:divBdr>
        <w:top w:val="none" w:sz="0" w:space="0" w:color="auto"/>
        <w:left w:val="none" w:sz="0" w:space="0" w:color="auto"/>
        <w:bottom w:val="none" w:sz="0" w:space="0" w:color="auto"/>
        <w:right w:val="none" w:sz="0" w:space="0" w:color="auto"/>
      </w:divBdr>
    </w:div>
    <w:div w:id="2081782613">
      <w:bodyDiv w:val="1"/>
      <w:marLeft w:val="0"/>
      <w:marRight w:val="0"/>
      <w:marTop w:val="0"/>
      <w:marBottom w:val="0"/>
      <w:divBdr>
        <w:top w:val="none" w:sz="0" w:space="0" w:color="auto"/>
        <w:left w:val="none" w:sz="0" w:space="0" w:color="auto"/>
        <w:bottom w:val="none" w:sz="0" w:space="0" w:color="auto"/>
        <w:right w:val="none" w:sz="0" w:space="0" w:color="auto"/>
      </w:divBdr>
    </w:div>
    <w:div w:id="2085451895">
      <w:bodyDiv w:val="1"/>
      <w:marLeft w:val="0"/>
      <w:marRight w:val="0"/>
      <w:marTop w:val="0"/>
      <w:marBottom w:val="0"/>
      <w:divBdr>
        <w:top w:val="none" w:sz="0" w:space="0" w:color="auto"/>
        <w:left w:val="none" w:sz="0" w:space="0" w:color="auto"/>
        <w:bottom w:val="none" w:sz="0" w:space="0" w:color="auto"/>
        <w:right w:val="none" w:sz="0" w:space="0" w:color="auto"/>
      </w:divBdr>
    </w:div>
    <w:div w:id="2103381016">
      <w:bodyDiv w:val="1"/>
      <w:marLeft w:val="0"/>
      <w:marRight w:val="0"/>
      <w:marTop w:val="0"/>
      <w:marBottom w:val="0"/>
      <w:divBdr>
        <w:top w:val="none" w:sz="0" w:space="0" w:color="auto"/>
        <w:left w:val="none" w:sz="0" w:space="0" w:color="auto"/>
        <w:bottom w:val="none" w:sz="0" w:space="0" w:color="auto"/>
        <w:right w:val="none" w:sz="0" w:space="0" w:color="auto"/>
      </w:divBdr>
    </w:div>
    <w:div w:id="2119057036">
      <w:bodyDiv w:val="1"/>
      <w:marLeft w:val="0"/>
      <w:marRight w:val="0"/>
      <w:marTop w:val="0"/>
      <w:marBottom w:val="0"/>
      <w:divBdr>
        <w:top w:val="none" w:sz="0" w:space="0" w:color="auto"/>
        <w:left w:val="none" w:sz="0" w:space="0" w:color="auto"/>
        <w:bottom w:val="none" w:sz="0" w:space="0" w:color="auto"/>
        <w:right w:val="none" w:sz="0" w:space="0" w:color="auto"/>
      </w:divBdr>
    </w:div>
    <w:div w:id="2136176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png"/><Relationship Id="rId21" Type="http://schemas.openxmlformats.org/officeDocument/2006/relationships/hyperlink" Target="http://cccco.edu/" TargetMode="External"/><Relationship Id="rId42" Type="http://schemas.openxmlformats.org/officeDocument/2006/relationships/image" Target="media/image9.png"/><Relationship Id="rId63" Type="http://schemas.openxmlformats.org/officeDocument/2006/relationships/image" Target="media/image23.png"/><Relationship Id="rId84" Type="http://schemas.openxmlformats.org/officeDocument/2006/relationships/image" Target="media/image36.png"/><Relationship Id="rId138" Type="http://schemas.openxmlformats.org/officeDocument/2006/relationships/hyperlink" Target="https://livingwage.mit.edu/counties/06029" TargetMode="External"/><Relationship Id="rId107" Type="http://schemas.openxmlformats.org/officeDocument/2006/relationships/hyperlink" Target="https://www.calpassplus.org/LaunchBoard/Student-Success-Metrics.aspx" TargetMode="External"/><Relationship Id="rId11" Type="http://schemas.openxmlformats.org/officeDocument/2006/relationships/diagramQuickStyle" Target="diagrams/quickStyle1.xml"/><Relationship Id="rId32" Type="http://schemas.openxmlformats.org/officeDocument/2006/relationships/hyperlink" Target="https://www.forbes.com/advisor/business/remote-work-statistics/" TargetMode="External"/><Relationship Id="rId53" Type="http://schemas.openxmlformats.org/officeDocument/2006/relationships/image" Target="media/image19.png"/><Relationship Id="rId74" Type="http://schemas.openxmlformats.org/officeDocument/2006/relationships/chart" Target="charts/chart5.xml"/><Relationship Id="rId128" Type="http://schemas.openxmlformats.org/officeDocument/2006/relationships/hyperlink" Target="https://www.calpassplus.org/LaunchBoard/Student-Success-Metrics.aspx" TargetMode="External"/><Relationship Id="rId149" Type="http://schemas.openxmlformats.org/officeDocument/2006/relationships/footer" Target="footer1.xml"/><Relationship Id="rId5" Type="http://schemas.openxmlformats.org/officeDocument/2006/relationships/webSettings" Target="webSettings.xml"/><Relationship Id="rId95" Type="http://schemas.openxmlformats.org/officeDocument/2006/relationships/image" Target="media/image43.png"/><Relationship Id="rId22" Type="http://schemas.openxmlformats.org/officeDocument/2006/relationships/hyperlink" Target="https://www.taftcollege.edu/about/offices-departments/institutional-research-planning/documents.php" TargetMode="External"/><Relationship Id="rId27" Type="http://schemas.openxmlformats.org/officeDocument/2006/relationships/hyperlink" Target="https://www.taftcollege.edu/academics/guided-pathways/" TargetMode="External"/><Relationship Id="rId43" Type="http://schemas.openxmlformats.org/officeDocument/2006/relationships/image" Target="media/image10.png"/><Relationship Id="rId48" Type="http://schemas.openxmlformats.org/officeDocument/2006/relationships/image" Target="media/image15.png"/><Relationship Id="rId64" Type="http://schemas.openxmlformats.org/officeDocument/2006/relationships/hyperlink" Target="https://coeccc.net/central-california/2024/03/south-central-valley-southern-mother-lode-subregional-report/" TargetMode="External"/><Relationship Id="rId69" Type="http://schemas.openxmlformats.org/officeDocument/2006/relationships/image" Target="media/image24.png"/><Relationship Id="rId113" Type="http://schemas.openxmlformats.org/officeDocument/2006/relationships/image" Target="media/image52.png"/><Relationship Id="rId118" Type="http://schemas.openxmlformats.org/officeDocument/2006/relationships/hyperlink" Target="https://www.calpassplus.org/LaunchBoard/Student-Success-Metrics.aspx" TargetMode="External"/><Relationship Id="rId134" Type="http://schemas.openxmlformats.org/officeDocument/2006/relationships/chart" Target="charts/chart16.xml"/><Relationship Id="rId139" Type="http://schemas.openxmlformats.org/officeDocument/2006/relationships/image" Target="media/image60.png"/><Relationship Id="rId80" Type="http://schemas.openxmlformats.org/officeDocument/2006/relationships/image" Target="media/image32.png"/><Relationship Id="rId85" Type="http://schemas.openxmlformats.org/officeDocument/2006/relationships/image" Target="media/image37.png"/><Relationship Id="rId150" Type="http://schemas.openxmlformats.org/officeDocument/2006/relationships/footer" Target="footer2.xml"/><Relationship Id="rId155" Type="http://schemas.microsoft.com/office/2020/10/relationships/intelligence" Target="intelligence2.xml"/><Relationship Id="rId12" Type="http://schemas.openxmlformats.org/officeDocument/2006/relationships/diagramColors" Target="diagrams/colors1.xml"/><Relationship Id="rId17" Type="http://schemas.openxmlformats.org/officeDocument/2006/relationships/hyperlink" Target="http://cccco.edu/" TargetMode="External"/><Relationship Id="rId33" Type="http://schemas.openxmlformats.org/officeDocument/2006/relationships/hyperlink" Target="https://www.kerncounty.com/government/county-administrative-office/cao/economic-development" TargetMode="External"/><Relationship Id="rId38" Type="http://schemas.openxmlformats.org/officeDocument/2006/relationships/image" Target="media/image7.png"/><Relationship Id="rId59" Type="http://schemas.openxmlformats.org/officeDocument/2006/relationships/hyperlink" Target="https://coeccc.net/central-california/2024/03/south-central-valley-southern-mother-lode-subregional-report/" TargetMode="External"/><Relationship Id="rId103" Type="http://schemas.openxmlformats.org/officeDocument/2006/relationships/chart" Target="charts/chart9.xml"/><Relationship Id="rId108" Type="http://schemas.openxmlformats.org/officeDocument/2006/relationships/image" Target="media/image50.png"/><Relationship Id="rId124" Type="http://schemas.openxmlformats.org/officeDocument/2006/relationships/hyperlink" Target="https://www.calpassplus.org/LaunchBoard/Student-Success-Metrics.aspx" TargetMode="External"/><Relationship Id="rId129" Type="http://schemas.openxmlformats.org/officeDocument/2006/relationships/chart" Target="charts/chart13.xml"/><Relationship Id="rId54" Type="http://schemas.openxmlformats.org/officeDocument/2006/relationships/image" Target="media/image20.png"/><Relationship Id="rId70" Type="http://schemas.openxmlformats.org/officeDocument/2006/relationships/image" Target="media/image25.png"/><Relationship Id="rId75" Type="http://schemas.openxmlformats.org/officeDocument/2006/relationships/chart" Target="charts/chart6.xml"/><Relationship Id="rId91" Type="http://schemas.openxmlformats.org/officeDocument/2006/relationships/hyperlink" Target="https://www.cccco.edu/About-Us/Chancellors-Office/Divisions/College-Finance-and-Facilities-Planning/scff-dashboard/phase-2" TargetMode="External"/><Relationship Id="rId96" Type="http://schemas.openxmlformats.org/officeDocument/2006/relationships/image" Target="media/image44.png"/><Relationship Id="rId140" Type="http://schemas.openxmlformats.org/officeDocument/2006/relationships/image" Target="media/image61.png"/><Relationship Id="rId145"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taftcollege.edu/about/offices-departments/institutional-research-planning/_files/docs/institutional-planning-documents/Planning%20Guide%202022_StructureComb.pdf" TargetMode="External"/><Relationship Id="rId28" Type="http://schemas.openxmlformats.org/officeDocument/2006/relationships/hyperlink" Target="https://nces.ed.gov/programs/coe/indicator/cpb" TargetMode="External"/><Relationship Id="rId49" Type="http://schemas.openxmlformats.org/officeDocument/2006/relationships/chart" Target="charts/chart2.xml"/><Relationship Id="rId114" Type="http://schemas.openxmlformats.org/officeDocument/2006/relationships/image" Target="media/image53.png"/><Relationship Id="rId119" Type="http://schemas.openxmlformats.org/officeDocument/2006/relationships/image" Target="media/image55.png"/><Relationship Id="rId44" Type="http://schemas.openxmlformats.org/officeDocument/2006/relationships/image" Target="media/image11.png"/><Relationship Id="rId60" Type="http://schemas.openxmlformats.org/officeDocument/2006/relationships/hyperlink" Target="https://coeccc.net/central-california/2024/03/south-central-valley-southern-mother-lode-subregional-report/" TargetMode="External"/><Relationship Id="rId65" Type="http://schemas.openxmlformats.org/officeDocument/2006/relationships/hyperlink" Target="https://www.forbes.com/advisor/business/remote-work-statistics/" TargetMode="External"/><Relationship Id="rId81" Type="http://schemas.openxmlformats.org/officeDocument/2006/relationships/image" Target="media/image33.png"/><Relationship Id="rId86" Type="http://schemas.openxmlformats.org/officeDocument/2006/relationships/image" Target="media/image38.png"/><Relationship Id="rId130" Type="http://schemas.openxmlformats.org/officeDocument/2006/relationships/chart" Target="charts/chart14.xml"/><Relationship Id="rId135" Type="http://schemas.openxmlformats.org/officeDocument/2006/relationships/hyperlink" Target="https://www.calpassplus.org/LaunchBoard/Student-Success-Metrics.aspx" TargetMode="External"/><Relationship Id="rId151" Type="http://schemas.openxmlformats.org/officeDocument/2006/relationships/header" Target="header3.xml"/><Relationship Id="rId13" Type="http://schemas.microsoft.com/office/2007/relationships/diagramDrawing" Target="diagrams/drawing1.xml"/><Relationship Id="rId18" Type="http://schemas.openxmlformats.org/officeDocument/2006/relationships/hyperlink" Target="http://cccco.edu/" TargetMode="External"/><Relationship Id="rId39" Type="http://schemas.openxmlformats.org/officeDocument/2006/relationships/hyperlink" Target="https://www.mapsofworld.com/usa/county-maps/california/kern-county-map.html" TargetMode="External"/><Relationship Id="rId109" Type="http://schemas.openxmlformats.org/officeDocument/2006/relationships/hyperlink" Target="https://www.calpassplus.org/LaunchBoard/Student-Success-Metrics.aspx" TargetMode="External"/><Relationship Id="rId34" Type="http://schemas.openxmlformats.org/officeDocument/2006/relationships/image" Target="media/image5.png"/><Relationship Id="rId50" Type="http://schemas.openxmlformats.org/officeDocument/2006/relationships/image" Target="media/image16.png"/><Relationship Id="rId55" Type="http://schemas.openxmlformats.org/officeDocument/2006/relationships/hyperlink" Target="https://coeccc.net/central-california/2023/03/top-50-occupations-in-central-valley-mother-lode-region/" TargetMode="External"/><Relationship Id="rId76" Type="http://schemas.openxmlformats.org/officeDocument/2006/relationships/image" Target="media/image28.png"/><Relationship Id="rId97" Type="http://schemas.openxmlformats.org/officeDocument/2006/relationships/image" Target="media/image45.png"/><Relationship Id="rId104" Type="http://schemas.openxmlformats.org/officeDocument/2006/relationships/image" Target="media/image49.png"/><Relationship Id="rId120" Type="http://schemas.openxmlformats.org/officeDocument/2006/relationships/hyperlink" Target="https://www.calpassplus.org/LaunchBoard/Student-Success-Metrics.aspx" TargetMode="External"/><Relationship Id="rId125" Type="http://schemas.openxmlformats.org/officeDocument/2006/relationships/chart" Target="charts/chart12.xml"/><Relationship Id="rId141" Type="http://schemas.openxmlformats.org/officeDocument/2006/relationships/hyperlink" Target="https://www.calpassplus.org/LaunchBoard/Student-Success-Metrics.aspx" TargetMode="External"/><Relationship Id="rId146" Type="http://schemas.microsoft.com/office/2007/relationships/diagramDrawing" Target="diagrams/drawing2.xml"/><Relationship Id="rId7" Type="http://schemas.openxmlformats.org/officeDocument/2006/relationships/endnotes" Target="endnotes.xml"/><Relationship Id="rId71" Type="http://schemas.openxmlformats.org/officeDocument/2006/relationships/image" Target="media/image26.png"/><Relationship Id="rId92" Type="http://schemas.openxmlformats.org/officeDocument/2006/relationships/hyperlink" Target="https://www.cccco.edu/About-Us/Chancellors-Office/Divisions/College-Finance-and-Facilities-Planning/scff-dashboard/phase-2" TargetMode="External"/><Relationship Id="rId2" Type="http://schemas.openxmlformats.org/officeDocument/2006/relationships/numbering" Target="numbering.xml"/><Relationship Id="rId29" Type="http://schemas.openxmlformats.org/officeDocument/2006/relationships/hyperlink" Target="https://nscresearchcenter.org/stay-informed/" TargetMode="External"/><Relationship Id="rId24" Type="http://schemas.openxmlformats.org/officeDocument/2006/relationships/image" Target="media/image3.png"/><Relationship Id="rId40" Type="http://schemas.openxmlformats.org/officeDocument/2006/relationships/chart" Target="charts/chart1.xml"/><Relationship Id="rId45" Type="http://schemas.openxmlformats.org/officeDocument/2006/relationships/image" Target="media/image12.png"/><Relationship Id="rId66" Type="http://schemas.openxmlformats.org/officeDocument/2006/relationships/hyperlink" Target="https://www.flexjobs.com/blog/post/100-top-companies-with-remote-jobs-in-2024/" TargetMode="External"/><Relationship Id="rId87" Type="http://schemas.openxmlformats.org/officeDocument/2006/relationships/image" Target="media/image39.png"/><Relationship Id="rId110" Type="http://schemas.openxmlformats.org/officeDocument/2006/relationships/chart" Target="charts/chart11.xml"/><Relationship Id="rId115" Type="http://schemas.openxmlformats.org/officeDocument/2006/relationships/hyperlink" Target="https://www.universityofcalifornia.edu/about-us/information-center/admissions-source-school" TargetMode="External"/><Relationship Id="rId131" Type="http://schemas.openxmlformats.org/officeDocument/2006/relationships/hyperlink" Target="https://www.calpassplus.org/LaunchBoard/Student-Success-Metrics.aspx" TargetMode="External"/><Relationship Id="rId136" Type="http://schemas.openxmlformats.org/officeDocument/2006/relationships/image" Target="media/image59.png"/><Relationship Id="rId61" Type="http://schemas.openxmlformats.org/officeDocument/2006/relationships/image" Target="media/image22.png"/><Relationship Id="rId82" Type="http://schemas.openxmlformats.org/officeDocument/2006/relationships/image" Target="media/image34.png"/><Relationship Id="rId152" Type="http://schemas.openxmlformats.org/officeDocument/2006/relationships/footer" Target="footer3.xml"/><Relationship Id="rId19" Type="http://schemas.openxmlformats.org/officeDocument/2006/relationships/hyperlink" Target="https://edsource.org/wp-content/uploads/old/ab1725.PDF" TargetMode="External"/><Relationship Id="rId14" Type="http://schemas.openxmlformats.org/officeDocument/2006/relationships/hyperlink" Target="https://www.taftcollege.edu/about/history-tradition-values/centennial.php" TargetMode="External"/><Relationship Id="rId30" Type="http://schemas.openxmlformats.org/officeDocument/2006/relationships/hyperlink" Target="https://nscresearchcenter.org/current-term-enrollment-estimates/" TargetMode="External"/><Relationship Id="rId35" Type="http://schemas.openxmlformats.org/officeDocument/2006/relationships/hyperlink" Target="https://ndcresearch.maps.arcgis.com/apps/View/index.html?appid=d3c7b47bfa9642e99e1042d8bb2f587b" TargetMode="External"/><Relationship Id="rId56" Type="http://schemas.openxmlformats.org/officeDocument/2006/relationships/hyperlink" Target="https://livingwage.mit.edu/counties/06029" TargetMode="External"/><Relationship Id="rId77" Type="http://schemas.openxmlformats.org/officeDocument/2006/relationships/image" Target="media/image29.png"/><Relationship Id="rId100" Type="http://schemas.openxmlformats.org/officeDocument/2006/relationships/image" Target="media/image47.png"/><Relationship Id="rId105" Type="http://schemas.openxmlformats.org/officeDocument/2006/relationships/hyperlink" Target="https://www.calpassplus.org/LaunchBoard/Student-Success-Metrics.aspx" TargetMode="External"/><Relationship Id="rId126" Type="http://schemas.openxmlformats.org/officeDocument/2006/relationships/hyperlink" Target="https://www.calpassplus.org/LaunchBoard/Student-Success-Metrics.aspx" TargetMode="External"/><Relationship Id="rId14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17.png"/><Relationship Id="rId72" Type="http://schemas.openxmlformats.org/officeDocument/2006/relationships/chart" Target="charts/chart4.xml"/><Relationship Id="rId93" Type="http://schemas.openxmlformats.org/officeDocument/2006/relationships/image" Target="media/image42.png"/><Relationship Id="rId98" Type="http://schemas.openxmlformats.org/officeDocument/2006/relationships/image" Target="media/image46.png"/><Relationship Id="rId121" Type="http://schemas.openxmlformats.org/officeDocument/2006/relationships/image" Target="media/image56.png"/><Relationship Id="rId142" Type="http://schemas.openxmlformats.org/officeDocument/2006/relationships/diagramData" Target="diagrams/data2.xml"/><Relationship Id="rId3" Type="http://schemas.openxmlformats.org/officeDocument/2006/relationships/styles" Target="styles.xml"/><Relationship Id="rId25" Type="http://schemas.openxmlformats.org/officeDocument/2006/relationships/hyperlink" Target="https://www.taftcollege.edu/about/offices-departments/institutional-research-planning/annual-program-review/index.php" TargetMode="External"/><Relationship Id="rId46" Type="http://schemas.openxmlformats.org/officeDocument/2006/relationships/image" Target="media/image13.png"/><Relationship Id="rId67" Type="http://schemas.openxmlformats.org/officeDocument/2006/relationships/chart" Target="charts/chart3.xml"/><Relationship Id="rId116" Type="http://schemas.openxmlformats.org/officeDocument/2006/relationships/hyperlink" Target="https://tableau.calstate.edu/views/Application_withsystemwide/AppAdmitEnroll?iframeSizedToWindow=true&amp;%3Aembed=y&amp;%3AshowAppBanner=false&amp;%3Adisplay_count=no&amp;%3Arender=true&amp;%3AshowVizHome=no&amp;%3Aorigin=viz_share_link" TargetMode="External"/><Relationship Id="rId137" Type="http://schemas.openxmlformats.org/officeDocument/2006/relationships/hyperlink" Target="https://cteos.santarosa.edu/reports" TargetMode="External"/><Relationship Id="rId20" Type="http://schemas.openxmlformats.org/officeDocument/2006/relationships/image" Target="media/image2.png"/><Relationship Id="rId41" Type="http://schemas.openxmlformats.org/officeDocument/2006/relationships/image" Target="media/image8.png"/><Relationship Id="rId62" Type="http://schemas.openxmlformats.org/officeDocument/2006/relationships/hyperlink" Target="https://coeccc.net/central-california/2024/03/south-central-valley-southern-mother-lode-subregional-report/" TargetMode="External"/><Relationship Id="rId83" Type="http://schemas.openxmlformats.org/officeDocument/2006/relationships/image" Target="media/image35.png"/><Relationship Id="rId88" Type="http://schemas.openxmlformats.org/officeDocument/2006/relationships/image" Target="media/image40.png"/><Relationship Id="rId111" Type="http://schemas.openxmlformats.org/officeDocument/2006/relationships/hyperlink" Target="https://www.calpassplus.org/LaunchBoard/Student-Success-Metrics.aspx" TargetMode="External"/><Relationship Id="rId132" Type="http://schemas.openxmlformats.org/officeDocument/2006/relationships/chart" Target="charts/chart15.xml"/><Relationship Id="rId153" Type="http://schemas.openxmlformats.org/officeDocument/2006/relationships/fontTable" Target="fontTable.xml"/><Relationship Id="rId15" Type="http://schemas.openxmlformats.org/officeDocument/2006/relationships/hyperlink" Target="https://www.cccco.edu/About-Us/land-acknowledgement" TargetMode="External"/><Relationship Id="rId36" Type="http://schemas.openxmlformats.org/officeDocument/2006/relationships/image" Target="media/image6.png"/><Relationship Id="rId57" Type="http://schemas.openxmlformats.org/officeDocument/2006/relationships/hyperlink" Target="https://coeccc.net/central-california/2023/03/top-50-occupations-in-central-valley-mother-lode-region/" TargetMode="External"/><Relationship Id="rId106" Type="http://schemas.openxmlformats.org/officeDocument/2006/relationships/chart" Target="charts/chart10.xml"/><Relationship Id="rId127" Type="http://schemas.openxmlformats.org/officeDocument/2006/relationships/image" Target="media/image58.png"/><Relationship Id="rId10" Type="http://schemas.openxmlformats.org/officeDocument/2006/relationships/diagramLayout" Target="diagrams/layout1.xml"/><Relationship Id="rId31" Type="http://schemas.openxmlformats.org/officeDocument/2006/relationships/hyperlink" Target="https://library.educause.edu/-/media/files/library/2024/5/2024hrteachinglearning.pdf" TargetMode="External"/><Relationship Id="rId52" Type="http://schemas.openxmlformats.org/officeDocument/2006/relationships/image" Target="media/image18.png"/><Relationship Id="rId73" Type="http://schemas.openxmlformats.org/officeDocument/2006/relationships/image" Target="media/image27.png"/><Relationship Id="rId78" Type="http://schemas.openxmlformats.org/officeDocument/2006/relationships/image" Target="media/image30.png"/><Relationship Id="rId94" Type="http://schemas.openxmlformats.org/officeDocument/2006/relationships/hyperlink" Target="https://www.calpassplus.org/LaunchBoard/Student-Success-Metrics.aspx" TargetMode="External"/><Relationship Id="rId99" Type="http://schemas.openxmlformats.org/officeDocument/2006/relationships/chart" Target="charts/chart7.xml"/><Relationship Id="rId101" Type="http://schemas.openxmlformats.org/officeDocument/2006/relationships/chart" Target="charts/chart8.xml"/><Relationship Id="rId122" Type="http://schemas.openxmlformats.org/officeDocument/2006/relationships/hyperlink" Target="https://www.calpassplus.org/LaunchBoard/Student-Success-Metrics.aspx" TargetMode="External"/><Relationship Id="rId143" Type="http://schemas.openxmlformats.org/officeDocument/2006/relationships/diagramLayout" Target="diagrams/layout2.xml"/><Relationship Id="rId148" Type="http://schemas.openxmlformats.org/officeDocument/2006/relationships/header" Target="header2.xml"/><Relationship Id="rId4" Type="http://schemas.openxmlformats.org/officeDocument/2006/relationships/settings" Target="settings.xml"/><Relationship Id="rId9" Type="http://schemas.openxmlformats.org/officeDocument/2006/relationships/diagramData" Target="diagrams/data1.xml"/><Relationship Id="rId26" Type="http://schemas.openxmlformats.org/officeDocument/2006/relationships/image" Target="media/image4.jpg"/><Relationship Id="rId47" Type="http://schemas.openxmlformats.org/officeDocument/2006/relationships/image" Target="media/image14.png"/><Relationship Id="rId68" Type="http://schemas.openxmlformats.org/officeDocument/2006/relationships/hyperlink" Target="https://datamart.cccco.edu/" TargetMode="External"/><Relationship Id="rId89" Type="http://schemas.openxmlformats.org/officeDocument/2006/relationships/hyperlink" Target="https://datamart.cccco.edu/" TargetMode="External"/><Relationship Id="rId112" Type="http://schemas.openxmlformats.org/officeDocument/2006/relationships/image" Target="media/image51.png"/><Relationship Id="rId133" Type="http://schemas.openxmlformats.org/officeDocument/2006/relationships/hyperlink" Target="https://www.calpassplus.org/LaunchBoard/Student-Success-Metrics.aspx" TargetMode="External"/><Relationship Id="rId154" Type="http://schemas.openxmlformats.org/officeDocument/2006/relationships/theme" Target="theme/theme1.xml"/><Relationship Id="rId16" Type="http://schemas.openxmlformats.org/officeDocument/2006/relationships/hyperlink" Target="http://cccco.edu/" TargetMode="External"/><Relationship Id="rId37" Type="http://schemas.openxmlformats.org/officeDocument/2006/relationships/hyperlink" Target="https://www.cityoftaft.org/files/documents/CityofTaftMarketGuide1742053057011222PM.pdf" TargetMode="External"/><Relationship Id="rId58" Type="http://schemas.openxmlformats.org/officeDocument/2006/relationships/image" Target="media/image21.png"/><Relationship Id="rId79" Type="http://schemas.openxmlformats.org/officeDocument/2006/relationships/image" Target="media/image31.png"/><Relationship Id="rId102" Type="http://schemas.openxmlformats.org/officeDocument/2006/relationships/image" Target="media/image48.png"/><Relationship Id="rId123" Type="http://schemas.openxmlformats.org/officeDocument/2006/relationships/image" Target="media/image57.png"/><Relationship Id="rId144" Type="http://schemas.openxmlformats.org/officeDocument/2006/relationships/diagramQuickStyle" Target="diagrams/quickStyle2.xml"/><Relationship Id="rId90" Type="http://schemas.openxmlformats.org/officeDocument/2006/relationships/image" Target="media/image4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oleObject" Target="file:///\\fileserver\research\EMP%20information\EMP%20Draft%20DataVista%20Char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ileserver\research\EMP%20information\EMP%20Draft%20DataVista%20Char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ileserver\research\EMP%20information\EMP%20Draft%20DataVista%20Char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fileserver\research\EMP%20information\EMP%20Draft%20DataVista%20Chart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5.xlsx"/></Relationships>
</file>

<file path=word/charts/_rels/chart15.xml.rels><?xml version="1.0" encoding="UTF-8" standalone="yes"?>
<Relationships xmlns="http://schemas.openxmlformats.org/package/2006/relationships"><Relationship Id="rId3" Type="http://schemas.openxmlformats.org/officeDocument/2006/relationships/oleObject" Target="file:///\\fileserver\research\EMP%20information\EMP%20Draft%20DataVista%20Chart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fileserver\research\EMP%20information\EMP%20Draft%20DataVista%20Charts.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ileserver\research\EMP%20information\EMP%20Draft%20DataVista%20Char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ileserver\research\EMP%20information\EMP%20Draft%20DataVista%20Char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ileserver\research\EMP%20information\EMP%20Draft%20DataVista%20Char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414155943771033E-2"/>
          <c:y val="3.8352279653752895E-2"/>
          <c:w val="0.91452808101134109"/>
          <c:h val="0.80569607706001378"/>
        </c:manualLayout>
      </c:layout>
      <c:areaChart>
        <c:grouping val="stacked"/>
        <c:varyColors val="0"/>
        <c:ser>
          <c:idx val="0"/>
          <c:order val="0"/>
          <c:tx>
            <c:strRef>
              <c:f>'[2020-1850_STCO_IncCities (1).xlsx]Sheet1'!$B$4</c:f>
              <c:strCache>
                <c:ptCount val="1"/>
                <c:pt idx="0">
                  <c:v>Maricopa</c:v>
                </c:pt>
              </c:strCache>
            </c:strRef>
          </c:tx>
          <c:spPr>
            <a:solidFill>
              <a:schemeClr val="accent1"/>
            </a:solidFill>
            <a:ln>
              <a:noFill/>
            </a:ln>
            <a:effectLst/>
          </c:spPr>
          <c:cat>
            <c:strRef>
              <c:f>'[2020-1850_STCO_IncCities (1).xlsx]Sheet1'!$C$3:$M$3</c:f>
              <c:strCache>
                <c:ptCount val="11"/>
                <c:pt idx="0">
                  <c:v>1920</c:v>
                </c:pt>
                <c:pt idx="1">
                  <c:v>1930</c:v>
                </c:pt>
                <c:pt idx="2">
                  <c:v>1940</c:v>
                </c:pt>
                <c:pt idx="3">
                  <c:v>1950</c:v>
                </c:pt>
                <c:pt idx="4">
                  <c:v>1960</c:v>
                </c:pt>
                <c:pt idx="5">
                  <c:v>1970</c:v>
                </c:pt>
                <c:pt idx="6">
                  <c:v>1980</c:v>
                </c:pt>
                <c:pt idx="7">
                  <c:v>1990</c:v>
                </c:pt>
                <c:pt idx="8">
                  <c:v>  2,000  </c:v>
                </c:pt>
                <c:pt idx="9">
                  <c:v>2010</c:v>
                </c:pt>
                <c:pt idx="10">
                  <c:v>2020</c:v>
                </c:pt>
              </c:strCache>
            </c:strRef>
          </c:cat>
          <c:val>
            <c:numRef>
              <c:f>'[2020-1850_STCO_IncCities (1).xlsx]Sheet1'!$C$4:$M$4</c:f>
              <c:numCache>
                <c:formatCode>#,##0</c:formatCode>
                <c:ptCount val="11"/>
                <c:pt idx="0">
                  <c:v>1121</c:v>
                </c:pt>
                <c:pt idx="1">
                  <c:v>1071</c:v>
                </c:pt>
                <c:pt idx="2">
                  <c:v>670</c:v>
                </c:pt>
                <c:pt idx="3">
                  <c:v>800</c:v>
                </c:pt>
                <c:pt idx="4">
                  <c:v>648</c:v>
                </c:pt>
                <c:pt idx="5">
                  <c:v>740</c:v>
                </c:pt>
                <c:pt idx="6">
                  <c:v>946</c:v>
                </c:pt>
                <c:pt idx="7">
                  <c:v>1193</c:v>
                </c:pt>
                <c:pt idx="8">
                  <c:v>1111</c:v>
                </c:pt>
                <c:pt idx="9">
                  <c:v>1154</c:v>
                </c:pt>
                <c:pt idx="10">
                  <c:v>1026</c:v>
                </c:pt>
              </c:numCache>
            </c:numRef>
          </c:val>
          <c:extLst>
            <c:ext xmlns:c16="http://schemas.microsoft.com/office/drawing/2014/chart" uri="{C3380CC4-5D6E-409C-BE32-E72D297353CC}">
              <c16:uniqueId val="{00000000-5DA1-424A-94BE-75CAA00FD2B9}"/>
            </c:ext>
          </c:extLst>
        </c:ser>
        <c:ser>
          <c:idx val="1"/>
          <c:order val="1"/>
          <c:tx>
            <c:strRef>
              <c:f>'[2020-1850_STCO_IncCities (1).xlsx]Sheet1'!$B$5</c:f>
              <c:strCache>
                <c:ptCount val="1"/>
                <c:pt idx="0">
                  <c:v>Taft</c:v>
                </c:pt>
              </c:strCache>
            </c:strRef>
          </c:tx>
          <c:spPr>
            <a:solidFill>
              <a:schemeClr val="accent2"/>
            </a:solidFill>
            <a:ln>
              <a:noFill/>
            </a:ln>
            <a:effectLst/>
          </c:spPr>
          <c:cat>
            <c:strRef>
              <c:f>'[2020-1850_STCO_IncCities (1).xlsx]Sheet1'!$C$3:$M$3</c:f>
              <c:strCache>
                <c:ptCount val="11"/>
                <c:pt idx="0">
                  <c:v>1920</c:v>
                </c:pt>
                <c:pt idx="1">
                  <c:v>1930</c:v>
                </c:pt>
                <c:pt idx="2">
                  <c:v>1940</c:v>
                </c:pt>
                <c:pt idx="3">
                  <c:v>1950</c:v>
                </c:pt>
                <c:pt idx="4">
                  <c:v>1960</c:v>
                </c:pt>
                <c:pt idx="5">
                  <c:v>1970</c:v>
                </c:pt>
                <c:pt idx="6">
                  <c:v>1980</c:v>
                </c:pt>
                <c:pt idx="7">
                  <c:v>1990</c:v>
                </c:pt>
                <c:pt idx="8">
                  <c:v>  2,000  </c:v>
                </c:pt>
                <c:pt idx="9">
                  <c:v>2010</c:v>
                </c:pt>
                <c:pt idx="10">
                  <c:v>2020</c:v>
                </c:pt>
              </c:strCache>
            </c:strRef>
          </c:cat>
          <c:val>
            <c:numRef>
              <c:f>'[2020-1850_STCO_IncCities (1).xlsx]Sheet1'!$C$5:$M$5</c:f>
              <c:numCache>
                <c:formatCode>#,##0</c:formatCode>
                <c:ptCount val="11"/>
                <c:pt idx="0">
                  <c:v>3317</c:v>
                </c:pt>
                <c:pt idx="1">
                  <c:v>3442</c:v>
                </c:pt>
                <c:pt idx="2">
                  <c:v>3205</c:v>
                </c:pt>
                <c:pt idx="3">
                  <c:v>3707</c:v>
                </c:pt>
                <c:pt idx="4">
                  <c:v>3822</c:v>
                </c:pt>
                <c:pt idx="5">
                  <c:v>4285</c:v>
                </c:pt>
                <c:pt idx="6">
                  <c:v>5316</c:v>
                </c:pt>
                <c:pt idx="7">
                  <c:v>5902</c:v>
                </c:pt>
                <c:pt idx="8">
                  <c:v>8811</c:v>
                </c:pt>
                <c:pt idx="9">
                  <c:v>9327</c:v>
                </c:pt>
                <c:pt idx="10">
                  <c:v>8546</c:v>
                </c:pt>
              </c:numCache>
            </c:numRef>
          </c:val>
          <c:extLst>
            <c:ext xmlns:c16="http://schemas.microsoft.com/office/drawing/2014/chart" uri="{C3380CC4-5D6E-409C-BE32-E72D297353CC}">
              <c16:uniqueId val="{00000001-5DA1-424A-94BE-75CAA00FD2B9}"/>
            </c:ext>
          </c:extLst>
        </c:ser>
        <c:ser>
          <c:idx val="2"/>
          <c:order val="2"/>
          <c:tx>
            <c:strRef>
              <c:f>'[2020-1850_STCO_IncCities (1).xlsx]Sheet1'!$B$6</c:f>
              <c:strCache>
                <c:ptCount val="1"/>
                <c:pt idx="0">
                  <c:v>Tehachapi</c:v>
                </c:pt>
              </c:strCache>
            </c:strRef>
          </c:tx>
          <c:spPr>
            <a:solidFill>
              <a:schemeClr val="accent3"/>
            </a:solidFill>
            <a:ln>
              <a:noFill/>
            </a:ln>
            <a:effectLst/>
          </c:spPr>
          <c:cat>
            <c:strRef>
              <c:f>'[2020-1850_STCO_IncCities (1).xlsx]Sheet1'!$C$3:$M$3</c:f>
              <c:strCache>
                <c:ptCount val="11"/>
                <c:pt idx="0">
                  <c:v>1920</c:v>
                </c:pt>
                <c:pt idx="1">
                  <c:v>1930</c:v>
                </c:pt>
                <c:pt idx="2">
                  <c:v>1940</c:v>
                </c:pt>
                <c:pt idx="3">
                  <c:v>1950</c:v>
                </c:pt>
                <c:pt idx="4">
                  <c:v>1960</c:v>
                </c:pt>
                <c:pt idx="5">
                  <c:v>1970</c:v>
                </c:pt>
                <c:pt idx="6">
                  <c:v>1980</c:v>
                </c:pt>
                <c:pt idx="7">
                  <c:v>1990</c:v>
                </c:pt>
                <c:pt idx="8">
                  <c:v>  2,000  </c:v>
                </c:pt>
                <c:pt idx="9">
                  <c:v>2010</c:v>
                </c:pt>
                <c:pt idx="10">
                  <c:v>2020</c:v>
                </c:pt>
              </c:strCache>
            </c:strRef>
          </c:cat>
          <c:val>
            <c:numRef>
              <c:f>'[2020-1850_STCO_IncCities (1).xlsx]Sheet1'!$C$6:$M$6</c:f>
              <c:numCache>
                <c:formatCode>#,##0</c:formatCode>
                <c:ptCount val="11"/>
                <c:pt idx="0">
                  <c:v>458</c:v>
                </c:pt>
                <c:pt idx="1">
                  <c:v>736</c:v>
                </c:pt>
                <c:pt idx="2">
                  <c:v>1264</c:v>
                </c:pt>
                <c:pt idx="3">
                  <c:v>1685</c:v>
                </c:pt>
                <c:pt idx="4">
                  <c:v>3161</c:v>
                </c:pt>
                <c:pt idx="5">
                  <c:v>4211</c:v>
                </c:pt>
                <c:pt idx="6">
                  <c:v>4126</c:v>
                </c:pt>
                <c:pt idx="7">
                  <c:v>5791</c:v>
                </c:pt>
                <c:pt idx="8">
                  <c:v>11125</c:v>
                </c:pt>
                <c:pt idx="9">
                  <c:v>14414</c:v>
                </c:pt>
                <c:pt idx="10">
                  <c:v>12939</c:v>
                </c:pt>
              </c:numCache>
            </c:numRef>
          </c:val>
          <c:extLst>
            <c:ext xmlns:c16="http://schemas.microsoft.com/office/drawing/2014/chart" uri="{C3380CC4-5D6E-409C-BE32-E72D297353CC}">
              <c16:uniqueId val="{00000002-5DA1-424A-94BE-75CAA00FD2B9}"/>
            </c:ext>
          </c:extLst>
        </c:ser>
        <c:ser>
          <c:idx val="3"/>
          <c:order val="3"/>
          <c:tx>
            <c:strRef>
              <c:f>'[2020-1850_STCO_IncCities (1).xlsx]Sheet1'!$B$7</c:f>
              <c:strCache>
                <c:ptCount val="1"/>
                <c:pt idx="0">
                  <c:v>McFarland</c:v>
                </c:pt>
              </c:strCache>
            </c:strRef>
          </c:tx>
          <c:spPr>
            <a:solidFill>
              <a:schemeClr val="accent4"/>
            </a:solidFill>
            <a:ln>
              <a:noFill/>
            </a:ln>
            <a:effectLst/>
          </c:spPr>
          <c:cat>
            <c:strRef>
              <c:f>'[2020-1850_STCO_IncCities (1).xlsx]Sheet1'!$C$3:$M$3</c:f>
              <c:strCache>
                <c:ptCount val="11"/>
                <c:pt idx="0">
                  <c:v>1920</c:v>
                </c:pt>
                <c:pt idx="1">
                  <c:v>1930</c:v>
                </c:pt>
                <c:pt idx="2">
                  <c:v>1940</c:v>
                </c:pt>
                <c:pt idx="3">
                  <c:v>1950</c:v>
                </c:pt>
                <c:pt idx="4">
                  <c:v>1960</c:v>
                </c:pt>
                <c:pt idx="5">
                  <c:v>1970</c:v>
                </c:pt>
                <c:pt idx="6">
                  <c:v>1980</c:v>
                </c:pt>
                <c:pt idx="7">
                  <c:v>1990</c:v>
                </c:pt>
                <c:pt idx="8">
                  <c:v>  2,000  </c:v>
                </c:pt>
                <c:pt idx="9">
                  <c:v>2010</c:v>
                </c:pt>
                <c:pt idx="10">
                  <c:v>2020</c:v>
                </c:pt>
              </c:strCache>
            </c:strRef>
          </c:cat>
          <c:val>
            <c:numRef>
              <c:f>'[2020-1850_STCO_IncCities (1).xlsx]Sheet1'!$C$7:$M$7</c:f>
              <c:numCache>
                <c:formatCode>General</c:formatCode>
                <c:ptCount val="11"/>
                <c:pt idx="4" formatCode="#,##0">
                  <c:v>3686</c:v>
                </c:pt>
                <c:pt idx="5" formatCode="#,##0">
                  <c:v>4177</c:v>
                </c:pt>
                <c:pt idx="6" formatCode="#,##0">
                  <c:v>5151</c:v>
                </c:pt>
                <c:pt idx="7" formatCode="#,##0">
                  <c:v>7005</c:v>
                </c:pt>
                <c:pt idx="8" formatCode="#,##0">
                  <c:v>9837</c:v>
                </c:pt>
                <c:pt idx="9" formatCode="#,##0">
                  <c:v>12707</c:v>
                </c:pt>
                <c:pt idx="10" formatCode="#,##0">
                  <c:v>14161</c:v>
                </c:pt>
              </c:numCache>
            </c:numRef>
          </c:val>
          <c:extLst>
            <c:ext xmlns:c16="http://schemas.microsoft.com/office/drawing/2014/chart" uri="{C3380CC4-5D6E-409C-BE32-E72D297353CC}">
              <c16:uniqueId val="{00000003-5DA1-424A-94BE-75CAA00FD2B9}"/>
            </c:ext>
          </c:extLst>
        </c:ser>
        <c:ser>
          <c:idx val="4"/>
          <c:order val="4"/>
          <c:tx>
            <c:strRef>
              <c:f>'[2020-1850_STCO_IncCities (1).xlsx]Sheet1'!$B$8</c:f>
              <c:strCache>
                <c:ptCount val="1"/>
                <c:pt idx="0">
                  <c:v>California City</c:v>
                </c:pt>
              </c:strCache>
            </c:strRef>
          </c:tx>
          <c:spPr>
            <a:solidFill>
              <a:schemeClr val="accent5"/>
            </a:solidFill>
            <a:ln>
              <a:noFill/>
            </a:ln>
            <a:effectLst/>
          </c:spPr>
          <c:cat>
            <c:strRef>
              <c:f>'[2020-1850_STCO_IncCities (1).xlsx]Sheet1'!$C$3:$M$3</c:f>
              <c:strCache>
                <c:ptCount val="11"/>
                <c:pt idx="0">
                  <c:v>1920</c:v>
                </c:pt>
                <c:pt idx="1">
                  <c:v>1930</c:v>
                </c:pt>
                <c:pt idx="2">
                  <c:v>1940</c:v>
                </c:pt>
                <c:pt idx="3">
                  <c:v>1950</c:v>
                </c:pt>
                <c:pt idx="4">
                  <c:v>1960</c:v>
                </c:pt>
                <c:pt idx="5">
                  <c:v>1970</c:v>
                </c:pt>
                <c:pt idx="6">
                  <c:v>1980</c:v>
                </c:pt>
                <c:pt idx="7">
                  <c:v>1990</c:v>
                </c:pt>
                <c:pt idx="8">
                  <c:v>  2,000  </c:v>
                </c:pt>
                <c:pt idx="9">
                  <c:v>2010</c:v>
                </c:pt>
                <c:pt idx="10">
                  <c:v>2020</c:v>
                </c:pt>
              </c:strCache>
            </c:strRef>
          </c:cat>
          <c:val>
            <c:numRef>
              <c:f>'[2020-1850_STCO_IncCities (1).xlsx]Sheet1'!$C$8:$M$8</c:f>
              <c:numCache>
                <c:formatCode>General</c:formatCode>
                <c:ptCount val="11"/>
                <c:pt idx="5" formatCode="#,##0">
                  <c:v>1309</c:v>
                </c:pt>
                <c:pt idx="6" formatCode="#,##0">
                  <c:v>2743</c:v>
                </c:pt>
                <c:pt idx="7" formatCode="#,##0">
                  <c:v>5955</c:v>
                </c:pt>
                <c:pt idx="8" formatCode="#,##0">
                  <c:v>8385</c:v>
                </c:pt>
                <c:pt idx="9" formatCode="#,##0">
                  <c:v>14120</c:v>
                </c:pt>
                <c:pt idx="10" formatCode="#,##0">
                  <c:v>14973</c:v>
                </c:pt>
              </c:numCache>
            </c:numRef>
          </c:val>
          <c:extLst>
            <c:ext xmlns:c16="http://schemas.microsoft.com/office/drawing/2014/chart" uri="{C3380CC4-5D6E-409C-BE32-E72D297353CC}">
              <c16:uniqueId val="{00000004-5DA1-424A-94BE-75CAA00FD2B9}"/>
            </c:ext>
          </c:extLst>
        </c:ser>
        <c:ser>
          <c:idx val="5"/>
          <c:order val="5"/>
          <c:tx>
            <c:strRef>
              <c:f>'[2020-1850_STCO_IncCities (1).xlsx]Sheet1'!$B$9</c:f>
              <c:strCache>
                <c:ptCount val="1"/>
                <c:pt idx="0">
                  <c:v>Arvin</c:v>
                </c:pt>
              </c:strCache>
            </c:strRef>
          </c:tx>
          <c:spPr>
            <a:solidFill>
              <a:schemeClr val="accent6"/>
            </a:solidFill>
            <a:ln>
              <a:noFill/>
            </a:ln>
            <a:effectLst/>
          </c:spPr>
          <c:cat>
            <c:strRef>
              <c:f>'[2020-1850_STCO_IncCities (1).xlsx]Sheet1'!$C$3:$M$3</c:f>
              <c:strCache>
                <c:ptCount val="11"/>
                <c:pt idx="0">
                  <c:v>1920</c:v>
                </c:pt>
                <c:pt idx="1">
                  <c:v>1930</c:v>
                </c:pt>
                <c:pt idx="2">
                  <c:v>1940</c:v>
                </c:pt>
                <c:pt idx="3">
                  <c:v>1950</c:v>
                </c:pt>
                <c:pt idx="4">
                  <c:v>1960</c:v>
                </c:pt>
                <c:pt idx="5">
                  <c:v>1970</c:v>
                </c:pt>
                <c:pt idx="6">
                  <c:v>1980</c:v>
                </c:pt>
                <c:pt idx="7">
                  <c:v>1990</c:v>
                </c:pt>
                <c:pt idx="8">
                  <c:v>  2,000  </c:v>
                </c:pt>
                <c:pt idx="9">
                  <c:v>2010</c:v>
                </c:pt>
                <c:pt idx="10">
                  <c:v>2020</c:v>
                </c:pt>
              </c:strCache>
            </c:strRef>
          </c:cat>
          <c:val>
            <c:numRef>
              <c:f>'[2020-1850_STCO_IncCities (1).xlsx]Sheet1'!$C$9:$M$9</c:f>
              <c:numCache>
                <c:formatCode>General</c:formatCode>
                <c:ptCount val="11"/>
                <c:pt idx="5" formatCode="#,##0">
                  <c:v>5199</c:v>
                </c:pt>
                <c:pt idx="6" formatCode="#,##0">
                  <c:v>6863</c:v>
                </c:pt>
                <c:pt idx="7" formatCode="#,##0">
                  <c:v>9286</c:v>
                </c:pt>
                <c:pt idx="8" formatCode="#,##0">
                  <c:v>12956</c:v>
                </c:pt>
                <c:pt idx="9" formatCode="#,##0">
                  <c:v>19304</c:v>
                </c:pt>
                <c:pt idx="10" formatCode="#,##0">
                  <c:v>19495</c:v>
                </c:pt>
              </c:numCache>
            </c:numRef>
          </c:val>
          <c:extLst>
            <c:ext xmlns:c16="http://schemas.microsoft.com/office/drawing/2014/chart" uri="{C3380CC4-5D6E-409C-BE32-E72D297353CC}">
              <c16:uniqueId val="{00000005-5DA1-424A-94BE-75CAA00FD2B9}"/>
            </c:ext>
          </c:extLst>
        </c:ser>
        <c:ser>
          <c:idx val="6"/>
          <c:order val="6"/>
          <c:tx>
            <c:strRef>
              <c:f>'[2020-1850_STCO_IncCities (1).xlsx]Sheet1'!$B$10</c:f>
              <c:strCache>
                <c:ptCount val="1"/>
                <c:pt idx="0">
                  <c:v>Shafter</c:v>
                </c:pt>
              </c:strCache>
            </c:strRef>
          </c:tx>
          <c:spPr>
            <a:solidFill>
              <a:schemeClr val="accent1">
                <a:lumMod val="60000"/>
              </a:schemeClr>
            </a:solidFill>
            <a:ln>
              <a:noFill/>
            </a:ln>
            <a:effectLst/>
          </c:spPr>
          <c:cat>
            <c:strRef>
              <c:f>'[2020-1850_STCO_IncCities (1).xlsx]Sheet1'!$C$3:$M$3</c:f>
              <c:strCache>
                <c:ptCount val="11"/>
                <c:pt idx="0">
                  <c:v>1920</c:v>
                </c:pt>
                <c:pt idx="1">
                  <c:v>1930</c:v>
                </c:pt>
                <c:pt idx="2">
                  <c:v>1940</c:v>
                </c:pt>
                <c:pt idx="3">
                  <c:v>1950</c:v>
                </c:pt>
                <c:pt idx="4">
                  <c:v>1960</c:v>
                </c:pt>
                <c:pt idx="5">
                  <c:v>1970</c:v>
                </c:pt>
                <c:pt idx="6">
                  <c:v>1980</c:v>
                </c:pt>
                <c:pt idx="7">
                  <c:v>1990</c:v>
                </c:pt>
                <c:pt idx="8">
                  <c:v>  2,000  </c:v>
                </c:pt>
                <c:pt idx="9">
                  <c:v>2010</c:v>
                </c:pt>
                <c:pt idx="10">
                  <c:v>2020</c:v>
                </c:pt>
              </c:strCache>
            </c:strRef>
          </c:cat>
          <c:val>
            <c:numRef>
              <c:f>'[2020-1850_STCO_IncCities (1).xlsx]Sheet1'!$C$10:$M$10</c:f>
              <c:numCache>
                <c:formatCode>General</c:formatCode>
                <c:ptCount val="11"/>
                <c:pt idx="2" formatCode="#,##0">
                  <c:v>1258</c:v>
                </c:pt>
                <c:pt idx="3" formatCode="#,##0">
                  <c:v>2207</c:v>
                </c:pt>
                <c:pt idx="4" formatCode="#,##0">
                  <c:v>4576</c:v>
                </c:pt>
                <c:pt idx="5" formatCode="#,##0">
                  <c:v>5327</c:v>
                </c:pt>
                <c:pt idx="6" formatCode="#,##0">
                  <c:v>7010</c:v>
                </c:pt>
                <c:pt idx="7" formatCode="#,##0">
                  <c:v>8409</c:v>
                </c:pt>
                <c:pt idx="8" formatCode="#,##0">
                  <c:v>12736</c:v>
                </c:pt>
                <c:pt idx="9" formatCode="#,##0">
                  <c:v>16988</c:v>
                </c:pt>
                <c:pt idx="10" formatCode="#,##0">
                  <c:v>19953</c:v>
                </c:pt>
              </c:numCache>
            </c:numRef>
          </c:val>
          <c:extLst>
            <c:ext xmlns:c16="http://schemas.microsoft.com/office/drawing/2014/chart" uri="{C3380CC4-5D6E-409C-BE32-E72D297353CC}">
              <c16:uniqueId val="{00000006-5DA1-424A-94BE-75CAA00FD2B9}"/>
            </c:ext>
          </c:extLst>
        </c:ser>
        <c:ser>
          <c:idx val="7"/>
          <c:order val="7"/>
          <c:tx>
            <c:strRef>
              <c:f>'[2020-1850_STCO_IncCities (1).xlsx]Sheet1'!$B$11</c:f>
              <c:strCache>
                <c:ptCount val="1"/>
                <c:pt idx="0">
                  <c:v>Wasco</c:v>
                </c:pt>
              </c:strCache>
            </c:strRef>
          </c:tx>
          <c:spPr>
            <a:solidFill>
              <a:schemeClr val="accent2">
                <a:lumMod val="60000"/>
              </a:schemeClr>
            </a:solidFill>
            <a:ln>
              <a:noFill/>
            </a:ln>
            <a:effectLst/>
          </c:spPr>
          <c:cat>
            <c:strRef>
              <c:f>'[2020-1850_STCO_IncCities (1).xlsx]Sheet1'!$C$3:$M$3</c:f>
              <c:strCache>
                <c:ptCount val="11"/>
                <c:pt idx="0">
                  <c:v>1920</c:v>
                </c:pt>
                <c:pt idx="1">
                  <c:v>1930</c:v>
                </c:pt>
                <c:pt idx="2">
                  <c:v>1940</c:v>
                </c:pt>
                <c:pt idx="3">
                  <c:v>1950</c:v>
                </c:pt>
                <c:pt idx="4">
                  <c:v>1960</c:v>
                </c:pt>
                <c:pt idx="5">
                  <c:v>1970</c:v>
                </c:pt>
                <c:pt idx="6">
                  <c:v>1980</c:v>
                </c:pt>
                <c:pt idx="7">
                  <c:v>1990</c:v>
                </c:pt>
                <c:pt idx="8">
                  <c:v>  2,000  </c:v>
                </c:pt>
                <c:pt idx="9">
                  <c:v>2010</c:v>
                </c:pt>
                <c:pt idx="10">
                  <c:v>2020</c:v>
                </c:pt>
              </c:strCache>
            </c:strRef>
          </c:cat>
          <c:val>
            <c:numRef>
              <c:f>'[2020-1850_STCO_IncCities (1).xlsx]Sheet1'!$C$11:$M$11</c:f>
              <c:numCache>
                <c:formatCode>General</c:formatCode>
                <c:ptCount val="11"/>
                <c:pt idx="3" formatCode="#,##0">
                  <c:v>5592</c:v>
                </c:pt>
                <c:pt idx="4" formatCode="#,##0">
                  <c:v>6841</c:v>
                </c:pt>
                <c:pt idx="5" formatCode="#,##0">
                  <c:v>8269</c:v>
                </c:pt>
                <c:pt idx="6" formatCode="#,##0">
                  <c:v>9613</c:v>
                </c:pt>
                <c:pt idx="7" formatCode="#,##0">
                  <c:v>12412</c:v>
                </c:pt>
                <c:pt idx="8" formatCode="#,##0">
                  <c:v>21263</c:v>
                </c:pt>
                <c:pt idx="9" formatCode="#,##0">
                  <c:v>25545</c:v>
                </c:pt>
                <c:pt idx="10" formatCode="#,##0">
                  <c:v>27047</c:v>
                </c:pt>
              </c:numCache>
            </c:numRef>
          </c:val>
          <c:extLst>
            <c:ext xmlns:c16="http://schemas.microsoft.com/office/drawing/2014/chart" uri="{C3380CC4-5D6E-409C-BE32-E72D297353CC}">
              <c16:uniqueId val="{00000007-5DA1-424A-94BE-75CAA00FD2B9}"/>
            </c:ext>
          </c:extLst>
        </c:ser>
        <c:ser>
          <c:idx val="8"/>
          <c:order val="8"/>
          <c:tx>
            <c:strRef>
              <c:f>'[2020-1850_STCO_IncCities (1).xlsx]Sheet1'!$B$12</c:f>
              <c:strCache>
                <c:ptCount val="1"/>
                <c:pt idx="0">
                  <c:v>Ridgecrest</c:v>
                </c:pt>
              </c:strCache>
            </c:strRef>
          </c:tx>
          <c:spPr>
            <a:solidFill>
              <a:schemeClr val="accent3">
                <a:lumMod val="60000"/>
              </a:schemeClr>
            </a:solidFill>
            <a:ln>
              <a:noFill/>
            </a:ln>
            <a:effectLst/>
          </c:spPr>
          <c:cat>
            <c:strRef>
              <c:f>'[2020-1850_STCO_IncCities (1).xlsx]Sheet1'!$C$3:$M$3</c:f>
              <c:strCache>
                <c:ptCount val="11"/>
                <c:pt idx="0">
                  <c:v>1920</c:v>
                </c:pt>
                <c:pt idx="1">
                  <c:v>1930</c:v>
                </c:pt>
                <c:pt idx="2">
                  <c:v>1940</c:v>
                </c:pt>
                <c:pt idx="3">
                  <c:v>1950</c:v>
                </c:pt>
                <c:pt idx="4">
                  <c:v>1960</c:v>
                </c:pt>
                <c:pt idx="5">
                  <c:v>1970</c:v>
                </c:pt>
                <c:pt idx="6">
                  <c:v>1980</c:v>
                </c:pt>
                <c:pt idx="7">
                  <c:v>1990</c:v>
                </c:pt>
                <c:pt idx="8">
                  <c:v>  2,000  </c:v>
                </c:pt>
                <c:pt idx="9">
                  <c:v>2010</c:v>
                </c:pt>
                <c:pt idx="10">
                  <c:v>2020</c:v>
                </c:pt>
              </c:strCache>
            </c:strRef>
          </c:cat>
          <c:val>
            <c:numRef>
              <c:f>'[2020-1850_STCO_IncCities (1).xlsx]Sheet1'!$C$12:$M$12</c:f>
              <c:numCache>
                <c:formatCode>General</c:formatCode>
                <c:ptCount val="11"/>
                <c:pt idx="5" formatCode="#,##0">
                  <c:v>7629</c:v>
                </c:pt>
                <c:pt idx="6" formatCode="#,##0">
                  <c:v>15929</c:v>
                </c:pt>
                <c:pt idx="7" formatCode="#,##0">
                  <c:v>27725</c:v>
                </c:pt>
                <c:pt idx="8" formatCode="#,##0">
                  <c:v>24927</c:v>
                </c:pt>
                <c:pt idx="9" formatCode="#,##0">
                  <c:v>27616</c:v>
                </c:pt>
                <c:pt idx="10" formatCode="#,##0">
                  <c:v>27959</c:v>
                </c:pt>
              </c:numCache>
            </c:numRef>
          </c:val>
          <c:extLst>
            <c:ext xmlns:c16="http://schemas.microsoft.com/office/drawing/2014/chart" uri="{C3380CC4-5D6E-409C-BE32-E72D297353CC}">
              <c16:uniqueId val="{00000008-5DA1-424A-94BE-75CAA00FD2B9}"/>
            </c:ext>
          </c:extLst>
        </c:ser>
        <c:ser>
          <c:idx val="9"/>
          <c:order val="9"/>
          <c:tx>
            <c:strRef>
              <c:f>'[2020-1850_STCO_IncCities (1).xlsx]Sheet1'!$B$13</c:f>
              <c:strCache>
                <c:ptCount val="1"/>
                <c:pt idx="0">
                  <c:v>Delano</c:v>
                </c:pt>
              </c:strCache>
            </c:strRef>
          </c:tx>
          <c:spPr>
            <a:solidFill>
              <a:schemeClr val="accent4">
                <a:lumMod val="60000"/>
              </a:schemeClr>
            </a:solidFill>
            <a:ln>
              <a:noFill/>
            </a:ln>
            <a:effectLst/>
          </c:spPr>
          <c:cat>
            <c:strRef>
              <c:f>'[2020-1850_STCO_IncCities (1).xlsx]Sheet1'!$C$3:$M$3</c:f>
              <c:strCache>
                <c:ptCount val="11"/>
                <c:pt idx="0">
                  <c:v>1920</c:v>
                </c:pt>
                <c:pt idx="1">
                  <c:v>1930</c:v>
                </c:pt>
                <c:pt idx="2">
                  <c:v>1940</c:v>
                </c:pt>
                <c:pt idx="3">
                  <c:v>1950</c:v>
                </c:pt>
                <c:pt idx="4">
                  <c:v>1960</c:v>
                </c:pt>
                <c:pt idx="5">
                  <c:v>1970</c:v>
                </c:pt>
                <c:pt idx="6">
                  <c:v>1980</c:v>
                </c:pt>
                <c:pt idx="7">
                  <c:v>1990</c:v>
                </c:pt>
                <c:pt idx="8">
                  <c:v>  2,000  </c:v>
                </c:pt>
                <c:pt idx="9">
                  <c:v>2010</c:v>
                </c:pt>
                <c:pt idx="10">
                  <c:v>2020</c:v>
                </c:pt>
              </c:strCache>
            </c:strRef>
          </c:cat>
          <c:val>
            <c:numRef>
              <c:f>'[2020-1850_STCO_IncCities (1).xlsx]Sheet1'!$C$13:$M$13</c:f>
              <c:numCache>
                <c:formatCode>#,##0</c:formatCode>
                <c:ptCount val="11"/>
                <c:pt idx="0">
                  <c:v>805</c:v>
                </c:pt>
                <c:pt idx="1">
                  <c:v>2632</c:v>
                </c:pt>
                <c:pt idx="2">
                  <c:v>4573</c:v>
                </c:pt>
                <c:pt idx="3">
                  <c:v>8717</c:v>
                </c:pt>
                <c:pt idx="4">
                  <c:v>11913</c:v>
                </c:pt>
                <c:pt idx="5">
                  <c:v>14559</c:v>
                </c:pt>
                <c:pt idx="6">
                  <c:v>16491</c:v>
                </c:pt>
                <c:pt idx="7">
                  <c:v>22762</c:v>
                </c:pt>
                <c:pt idx="8">
                  <c:v>39489</c:v>
                </c:pt>
                <c:pt idx="9">
                  <c:v>53041</c:v>
                </c:pt>
                <c:pt idx="10">
                  <c:v>51428</c:v>
                </c:pt>
              </c:numCache>
            </c:numRef>
          </c:val>
          <c:extLst>
            <c:ext xmlns:c16="http://schemas.microsoft.com/office/drawing/2014/chart" uri="{C3380CC4-5D6E-409C-BE32-E72D297353CC}">
              <c16:uniqueId val="{00000009-5DA1-424A-94BE-75CAA00FD2B9}"/>
            </c:ext>
          </c:extLst>
        </c:ser>
        <c:ser>
          <c:idx val="10"/>
          <c:order val="10"/>
          <c:tx>
            <c:strRef>
              <c:f>'[2020-1850_STCO_IncCities (1).xlsx]Sheet1'!$B$14</c:f>
              <c:strCache>
                <c:ptCount val="1"/>
                <c:pt idx="0">
                  <c:v>Bakersfield</c:v>
                </c:pt>
              </c:strCache>
            </c:strRef>
          </c:tx>
          <c:spPr>
            <a:solidFill>
              <a:schemeClr val="accent5">
                <a:lumMod val="60000"/>
              </a:schemeClr>
            </a:solidFill>
            <a:ln>
              <a:noFill/>
            </a:ln>
            <a:effectLst/>
          </c:spPr>
          <c:cat>
            <c:strRef>
              <c:f>'[2020-1850_STCO_IncCities (1).xlsx]Sheet1'!$C$3:$M$3</c:f>
              <c:strCache>
                <c:ptCount val="11"/>
                <c:pt idx="0">
                  <c:v>1920</c:v>
                </c:pt>
                <c:pt idx="1">
                  <c:v>1930</c:v>
                </c:pt>
                <c:pt idx="2">
                  <c:v>1940</c:v>
                </c:pt>
                <c:pt idx="3">
                  <c:v>1950</c:v>
                </c:pt>
                <c:pt idx="4">
                  <c:v>1960</c:v>
                </c:pt>
                <c:pt idx="5">
                  <c:v>1970</c:v>
                </c:pt>
                <c:pt idx="6">
                  <c:v>1980</c:v>
                </c:pt>
                <c:pt idx="7">
                  <c:v>1990</c:v>
                </c:pt>
                <c:pt idx="8">
                  <c:v>  2,000  </c:v>
                </c:pt>
                <c:pt idx="9">
                  <c:v>2010</c:v>
                </c:pt>
                <c:pt idx="10">
                  <c:v>2020</c:v>
                </c:pt>
              </c:strCache>
            </c:strRef>
          </c:cat>
          <c:val>
            <c:numRef>
              <c:f>'[2020-1850_STCO_IncCities (1).xlsx]Sheet1'!$C$14:$M$14</c:f>
              <c:numCache>
                <c:formatCode>#,##0</c:formatCode>
                <c:ptCount val="11"/>
                <c:pt idx="0">
                  <c:v>18638</c:v>
                </c:pt>
                <c:pt idx="1">
                  <c:v>26015</c:v>
                </c:pt>
                <c:pt idx="2">
                  <c:v>29252</c:v>
                </c:pt>
                <c:pt idx="3">
                  <c:v>34784</c:v>
                </c:pt>
                <c:pt idx="4">
                  <c:v>56848</c:v>
                </c:pt>
                <c:pt idx="5">
                  <c:v>69515</c:v>
                </c:pt>
                <c:pt idx="6">
                  <c:v>105611</c:v>
                </c:pt>
                <c:pt idx="7">
                  <c:v>174820</c:v>
                </c:pt>
                <c:pt idx="8">
                  <c:v>246889</c:v>
                </c:pt>
                <c:pt idx="9">
                  <c:v>347483</c:v>
                </c:pt>
                <c:pt idx="10">
                  <c:v>403455</c:v>
                </c:pt>
              </c:numCache>
            </c:numRef>
          </c:val>
          <c:extLst>
            <c:ext xmlns:c16="http://schemas.microsoft.com/office/drawing/2014/chart" uri="{C3380CC4-5D6E-409C-BE32-E72D297353CC}">
              <c16:uniqueId val="{0000000A-5DA1-424A-94BE-75CAA00FD2B9}"/>
            </c:ext>
          </c:extLst>
        </c:ser>
        <c:dLbls>
          <c:showLegendKey val="0"/>
          <c:showVal val="0"/>
          <c:showCatName val="0"/>
          <c:showSerName val="0"/>
          <c:showPercent val="0"/>
          <c:showBubbleSize val="0"/>
        </c:dLbls>
        <c:axId val="978052623"/>
        <c:axId val="978066543"/>
      </c:areaChart>
      <c:catAx>
        <c:axId val="97805262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978066543"/>
        <c:crosses val="autoZero"/>
        <c:auto val="1"/>
        <c:lblAlgn val="ctr"/>
        <c:lblOffset val="100"/>
        <c:noMultiLvlLbl val="0"/>
      </c:catAx>
      <c:valAx>
        <c:axId val="9780665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78052623"/>
        <c:crosses val="autoZero"/>
        <c:crossBetween val="midCat"/>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Average Units Upon Degree, 2022-2023</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1"/>
          <c:order val="1"/>
          <c:tx>
            <c:strRef>
              <c:f>'7 - 14 DegreeTransfer'!$C$146</c:f>
              <c:strCache>
                <c:ptCount val="1"/>
                <c:pt idx="0">
                  <c:v>2022-2023</c:v>
                </c:pt>
              </c:strCache>
              <c:extLst xmlns:c15="http://schemas.microsoft.com/office/drawing/2012/chart"/>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'7 - 14 DegreeTransfer'!$A$147:$A$149</c:f>
              <c:strCache>
                <c:ptCount val="3"/>
                <c:pt idx="0">
                  <c:v>Taft College</c:v>
                </c:pt>
                <c:pt idx="1">
                  <c:v>Regional CCCs</c:v>
                </c:pt>
                <c:pt idx="2">
                  <c:v>All CCCs</c:v>
                </c:pt>
              </c:strCache>
              <c:extLst xmlns:c15="http://schemas.microsoft.com/office/drawing/2012/chart"/>
            </c:strRef>
          </c:cat>
          <c:val>
            <c:numRef>
              <c:f>'7 - 14 DegreeTransfer'!$C$147:$C$149</c:f>
              <c:numCache>
                <c:formatCode>0</c:formatCode>
                <c:ptCount val="3"/>
                <c:pt idx="0">
                  <c:v>75</c:v>
                </c:pt>
                <c:pt idx="1">
                  <c:v>79</c:v>
                </c:pt>
                <c:pt idx="2">
                  <c:v>81</c:v>
                </c:pt>
              </c:numCache>
              <c:extLst xmlns:c15="http://schemas.microsoft.com/office/drawing/2012/chart"/>
            </c:numRef>
          </c:val>
          <c:extLst>
            <c:ext xmlns:c16="http://schemas.microsoft.com/office/drawing/2014/chart" uri="{C3380CC4-5D6E-409C-BE32-E72D297353CC}">
              <c16:uniqueId val="{00000000-DC57-6B42-BC20-EF6536D33285}"/>
            </c:ext>
          </c:extLst>
        </c:ser>
        <c:dLbls>
          <c:dLblPos val="outEnd"/>
          <c:showLegendKey val="0"/>
          <c:showVal val="1"/>
          <c:showCatName val="0"/>
          <c:showSerName val="0"/>
          <c:showPercent val="0"/>
          <c:showBubbleSize val="0"/>
        </c:dLbls>
        <c:gapWidth val="219"/>
        <c:overlap val="-27"/>
        <c:axId val="187594303"/>
        <c:axId val="187605823"/>
        <c:extLst>
          <c:ext xmlns:c15="http://schemas.microsoft.com/office/drawing/2012/chart" uri="{02D57815-91ED-43cb-92C2-25804820EDAC}">
            <c15:filteredBarSeries>
              <c15:ser>
                <c:idx val="0"/>
                <c:order val="0"/>
                <c:tx>
                  <c:strRef>
                    <c:extLst>
                      <c:ext uri="{02D57815-91ED-43cb-92C2-25804820EDAC}">
                        <c15:formulaRef>
                          <c15:sqref>'7 - 14 DegreeTransfer'!$B$146</c15:sqref>
                        </c15:formulaRef>
                      </c:ext>
                    </c:extLst>
                    <c:strCache>
                      <c:ptCount val="1"/>
                      <c:pt idx="0">
                        <c:v>2021-2022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'7 - 14 DegreeTransfer'!$A$147:$A$149</c15:sqref>
                        </c15:formulaRef>
                      </c:ext>
                    </c:extLst>
                    <c:strCache>
                      <c:ptCount val="3"/>
                      <c:pt idx="0">
                        <c:v>Taft College</c:v>
                      </c:pt>
                      <c:pt idx="1">
                        <c:v>Regional CCCs</c:v>
                      </c:pt>
                      <c:pt idx="2">
                        <c:v>All CCCs</c:v>
                      </c:pt>
                    </c:strCache>
                  </c:strRef>
                </c:cat>
                <c:val>
                  <c:numRef>
                    <c:extLst>
                      <c:ext uri="{02D57815-91ED-43cb-92C2-25804820EDAC}">
                        <c15:formulaRef>
                          <c15:sqref>'7 - 14 DegreeTransfer'!$B$147:$B$149</c15:sqref>
                        </c15:formulaRef>
                      </c:ext>
                    </c:extLst>
                    <c:numCache>
                      <c:formatCode>0</c:formatCode>
                      <c:ptCount val="3"/>
                      <c:pt idx="0">
                        <c:v>74</c:v>
                      </c:pt>
                      <c:pt idx="1">
                        <c:v>81</c:v>
                      </c:pt>
                      <c:pt idx="2">
                        <c:v>83</c:v>
                      </c:pt>
                    </c:numCache>
                  </c:numRef>
                </c:val>
                <c:extLst>
                  <c:ext xmlns:c16="http://schemas.microsoft.com/office/drawing/2014/chart" uri="{C3380CC4-5D6E-409C-BE32-E72D297353CC}">
                    <c16:uniqueId val="{00000001-DC57-6B42-BC20-EF6536D33285}"/>
                  </c:ext>
                </c:extLst>
              </c15:ser>
            </c15:filteredBarSeries>
          </c:ext>
        </c:extLst>
      </c:barChart>
      <c:catAx>
        <c:axId val="187594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605823"/>
        <c:crosses val="autoZero"/>
        <c:auto val="1"/>
        <c:lblAlgn val="ctr"/>
        <c:lblOffset val="100"/>
        <c:noMultiLvlLbl val="0"/>
      </c:catAx>
      <c:valAx>
        <c:axId val="1876058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594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Transferred to Any 4-Year Institution, 2021-2022</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1"/>
          <c:order val="1"/>
          <c:tx>
            <c:strRef>
              <c:f>'7 - 14 DegreeTransfer'!$C$203</c:f>
              <c:strCache>
                <c:ptCount val="1"/>
                <c:pt idx="0">
                  <c:v>2021-2022</c:v>
                </c:pt>
              </c:strCache>
              <c:extLst xmlns:c15="http://schemas.microsoft.com/office/drawing/2012/chart"/>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'7 - 14 DegreeTransfer'!$A$204:$A$206</c:f>
              <c:strCache>
                <c:ptCount val="3"/>
                <c:pt idx="0">
                  <c:v>Taft College</c:v>
                </c:pt>
                <c:pt idx="1">
                  <c:v>Regional CCCs</c:v>
                </c:pt>
                <c:pt idx="2">
                  <c:v>All CCCs</c:v>
                </c:pt>
              </c:strCache>
              <c:extLst xmlns:c15="http://schemas.microsoft.com/office/drawing/2012/chart"/>
            </c:strRef>
          </c:cat>
          <c:val>
            <c:numRef>
              <c:f>'7 - 14 DegreeTransfer'!$C$204:$C$206</c:f>
              <c:numCache>
                <c:formatCode>0%</c:formatCode>
                <c:ptCount val="3"/>
                <c:pt idx="0">
                  <c:v>0.11</c:v>
                </c:pt>
                <c:pt idx="1">
                  <c:v>0.08</c:v>
                </c:pt>
                <c:pt idx="2">
                  <c:v>0.08</c:v>
                </c:pt>
              </c:numCache>
              <c:extLst xmlns:c15="http://schemas.microsoft.com/office/drawing/2012/chart"/>
            </c:numRef>
          </c:val>
          <c:extLst>
            <c:ext xmlns:c16="http://schemas.microsoft.com/office/drawing/2014/chart" uri="{C3380CC4-5D6E-409C-BE32-E72D297353CC}">
              <c16:uniqueId val="{00000000-2388-2E4C-93F9-10A739AD7913}"/>
            </c:ext>
          </c:extLst>
        </c:ser>
        <c:dLbls>
          <c:dLblPos val="outEnd"/>
          <c:showLegendKey val="0"/>
          <c:showVal val="1"/>
          <c:showCatName val="0"/>
          <c:showSerName val="0"/>
          <c:showPercent val="0"/>
          <c:showBubbleSize val="0"/>
        </c:dLbls>
        <c:gapWidth val="219"/>
        <c:overlap val="-27"/>
        <c:axId val="237700927"/>
        <c:axId val="132863391"/>
        <c:extLst>
          <c:ext xmlns:c15="http://schemas.microsoft.com/office/drawing/2012/chart" uri="{02D57815-91ED-43cb-92C2-25804820EDAC}">
            <c15:filteredBarSeries>
              <c15:ser>
                <c:idx val="0"/>
                <c:order val="0"/>
                <c:tx>
                  <c:strRef>
                    <c:extLst>
                      <c:ext uri="{02D57815-91ED-43cb-92C2-25804820EDAC}">
                        <c15:formulaRef>
                          <c15:sqref>'7 - 14 DegreeTransfer'!$B$203</c15:sqref>
                        </c15:formulaRef>
                      </c:ext>
                    </c:extLst>
                    <c:strCache>
                      <c:ptCount val="1"/>
                      <c:pt idx="0">
                        <c:v>2020-2021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'7 - 14 DegreeTransfer'!$A$204:$A$206</c15:sqref>
                        </c15:formulaRef>
                      </c:ext>
                    </c:extLst>
                    <c:strCache>
                      <c:ptCount val="3"/>
                      <c:pt idx="0">
                        <c:v>Taft College</c:v>
                      </c:pt>
                      <c:pt idx="1">
                        <c:v>Regional CCCs</c:v>
                      </c:pt>
                      <c:pt idx="2">
                        <c:v>All CCCs</c:v>
                      </c:pt>
                    </c:strCache>
                  </c:strRef>
                </c:cat>
                <c:val>
                  <c:numRef>
                    <c:extLst>
                      <c:ext uri="{02D57815-91ED-43cb-92C2-25804820EDAC}">
                        <c15:formulaRef>
                          <c15:sqref>'7 - 14 DegreeTransfer'!$B$204:$B$206</c15:sqref>
                        </c15:formulaRef>
                      </c:ext>
                    </c:extLst>
                    <c:numCache>
                      <c:formatCode>0%</c:formatCode>
                      <c:ptCount val="3"/>
                      <c:pt idx="0">
                        <c:v>0.08</c:v>
                      </c:pt>
                      <c:pt idx="1">
                        <c:v>0.08</c:v>
                      </c:pt>
                      <c:pt idx="2">
                        <c:v>0.08</c:v>
                      </c:pt>
                    </c:numCache>
                  </c:numRef>
                </c:val>
                <c:extLst>
                  <c:ext xmlns:c16="http://schemas.microsoft.com/office/drawing/2014/chart" uri="{C3380CC4-5D6E-409C-BE32-E72D297353CC}">
                    <c16:uniqueId val="{00000001-2388-2E4C-93F9-10A739AD7913}"/>
                  </c:ext>
                </c:extLst>
              </c15:ser>
            </c15:filteredBarSeries>
          </c:ext>
        </c:extLst>
      </c:barChart>
      <c:catAx>
        <c:axId val="237700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863391"/>
        <c:crosses val="autoZero"/>
        <c:auto val="1"/>
        <c:lblAlgn val="ctr"/>
        <c:lblOffset val="100"/>
        <c:noMultiLvlLbl val="0"/>
      </c:catAx>
      <c:valAx>
        <c:axId val="1328633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7009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Course</a:t>
            </a:r>
            <a:r>
              <a:rPr lang="en-US" b="1" baseline="0">
                <a:solidFill>
                  <a:sysClr val="windowText" lastClr="000000"/>
                </a:solidFill>
              </a:rPr>
              <a:t> Success Rate</a:t>
            </a:r>
            <a:r>
              <a:rPr lang="en-US" b="1">
                <a:solidFill>
                  <a:sysClr val="windowText" lastClr="000000"/>
                </a:solidFill>
              </a:rPr>
              <a:t>, 2022-2023</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1"/>
          <c:order val="1"/>
          <c:tx>
            <c:strRef>
              <c:f>'15-23 Short-Term'!$C$130</c:f>
              <c:strCache>
                <c:ptCount val="1"/>
                <c:pt idx="0">
                  <c:v>2022-2023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'15-23 Short-Term'!$A$131:$A$133</c:f>
              <c:strCache>
                <c:ptCount val="3"/>
                <c:pt idx="0">
                  <c:v>Taft College</c:v>
                </c:pt>
                <c:pt idx="1">
                  <c:v>Regional CCCs</c:v>
                </c:pt>
                <c:pt idx="2">
                  <c:v>All CCCs</c:v>
                </c:pt>
              </c:strCache>
            </c:strRef>
          </c:cat>
          <c:val>
            <c:numRef>
              <c:f>'15-23 Short-Term'!$C$131:$C$133</c:f>
              <c:numCache>
                <c:formatCode>0%</c:formatCode>
                <c:ptCount val="3"/>
                <c:pt idx="0">
                  <c:v>0.98</c:v>
                </c:pt>
                <c:pt idx="1">
                  <c:v>0.77</c:v>
                </c:pt>
                <c:pt idx="2">
                  <c:v>0.74</c:v>
                </c:pt>
              </c:numCache>
            </c:numRef>
          </c:val>
          <c:extLst>
            <c:ext xmlns:c16="http://schemas.microsoft.com/office/drawing/2014/chart" uri="{C3380CC4-5D6E-409C-BE32-E72D297353CC}">
              <c16:uniqueId val="{00000000-4434-4545-BF5A-D233CF66795F}"/>
            </c:ext>
          </c:extLst>
        </c:ser>
        <c:dLbls>
          <c:dLblPos val="outEnd"/>
          <c:showLegendKey val="0"/>
          <c:showVal val="1"/>
          <c:showCatName val="0"/>
          <c:showSerName val="0"/>
          <c:showPercent val="0"/>
          <c:showBubbleSize val="0"/>
        </c:dLbls>
        <c:gapWidth val="219"/>
        <c:overlap val="-27"/>
        <c:axId val="187594303"/>
        <c:axId val="187605823"/>
        <c:extLst>
          <c:ext xmlns:c15="http://schemas.microsoft.com/office/drawing/2012/chart" uri="{02D57815-91ED-43cb-92C2-25804820EDAC}">
            <c15:filteredBarSeries>
              <c15:ser>
                <c:idx val="0"/>
                <c:order val="0"/>
                <c:tx>
                  <c:strRef>
                    <c:extLst>
                      <c:ext uri="{02D57815-91ED-43cb-92C2-25804820EDAC}">
                        <c15:formulaRef>
                          <c15:sqref>'15-23 Short-Term'!$B$130</c15:sqref>
                        </c15:formulaRef>
                      </c:ext>
                    </c:extLst>
                    <c:strCache>
                      <c:ptCount val="1"/>
                      <c:pt idx="0">
                        <c:v>2021-2022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'15-23 Short-Term'!$A$131:$A$133</c15:sqref>
                        </c15:formulaRef>
                      </c:ext>
                    </c:extLst>
                    <c:strCache>
                      <c:ptCount val="3"/>
                      <c:pt idx="0">
                        <c:v>Taft College</c:v>
                      </c:pt>
                      <c:pt idx="1">
                        <c:v>Regional CCCs</c:v>
                      </c:pt>
                      <c:pt idx="2">
                        <c:v>All CCCs</c:v>
                      </c:pt>
                    </c:strCache>
                  </c:strRef>
                </c:cat>
                <c:val>
                  <c:numRef>
                    <c:extLst>
                      <c:ext uri="{02D57815-91ED-43cb-92C2-25804820EDAC}">
                        <c15:formulaRef>
                          <c15:sqref>'15-23 Short-Term'!$B$131:$B$133</c15:sqref>
                        </c15:formulaRef>
                      </c:ext>
                    </c:extLst>
                    <c:numCache>
                      <c:formatCode>0%</c:formatCode>
                      <c:ptCount val="3"/>
                      <c:pt idx="0">
                        <c:v>0.98</c:v>
                      </c:pt>
                      <c:pt idx="1">
                        <c:v>0.77</c:v>
                      </c:pt>
                      <c:pt idx="2">
                        <c:v>0.74</c:v>
                      </c:pt>
                    </c:numCache>
                  </c:numRef>
                </c:val>
                <c:extLst>
                  <c:ext xmlns:c16="http://schemas.microsoft.com/office/drawing/2014/chart" uri="{C3380CC4-5D6E-409C-BE32-E72D297353CC}">
                    <c16:uniqueId val="{00000001-4434-4545-BF5A-D233CF66795F}"/>
                  </c:ext>
                </c:extLst>
              </c15:ser>
            </c15:filteredBarSeries>
          </c:ext>
        </c:extLst>
      </c:barChart>
      <c:catAx>
        <c:axId val="187594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605823"/>
        <c:crosses val="autoZero"/>
        <c:auto val="1"/>
        <c:lblAlgn val="ctr"/>
        <c:lblOffset val="100"/>
        <c:noMultiLvlLbl val="0"/>
      </c:catAx>
      <c:valAx>
        <c:axId val="1876058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594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Median</a:t>
            </a:r>
            <a:r>
              <a:rPr lang="en-US" b="1" baseline="0">
                <a:solidFill>
                  <a:sysClr val="windowText" lastClr="000000"/>
                </a:solidFill>
              </a:rPr>
              <a:t> Change in Earnings, 2021-2022</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1"/>
          <c:order val="1"/>
          <c:tx>
            <c:strRef>
              <c:f>'15-23 Short-Term'!$C$181</c:f>
              <c:strCache>
                <c:ptCount val="1"/>
                <c:pt idx="0">
                  <c:v>2021-2022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'15-23 Short-Term'!$A$182:$A$184</c:f>
              <c:strCache>
                <c:ptCount val="3"/>
                <c:pt idx="0">
                  <c:v>Taft College</c:v>
                </c:pt>
                <c:pt idx="1">
                  <c:v>Regional CCCs</c:v>
                </c:pt>
                <c:pt idx="2">
                  <c:v>All CCCs</c:v>
                </c:pt>
              </c:strCache>
            </c:strRef>
          </c:cat>
          <c:val>
            <c:numRef>
              <c:f>'15-23 Short-Term'!$C$182:$C$184</c:f>
              <c:numCache>
                <c:formatCode>0%</c:formatCode>
                <c:ptCount val="3"/>
                <c:pt idx="0">
                  <c:v>0.22</c:v>
                </c:pt>
                <c:pt idx="1">
                  <c:v>0.24</c:v>
                </c:pt>
                <c:pt idx="2">
                  <c:v>0.24</c:v>
                </c:pt>
              </c:numCache>
            </c:numRef>
          </c:val>
          <c:extLst>
            <c:ext xmlns:c16="http://schemas.microsoft.com/office/drawing/2014/chart" uri="{C3380CC4-5D6E-409C-BE32-E72D297353CC}">
              <c16:uniqueId val="{00000000-134F-A347-BA31-07BD339DAEF8}"/>
            </c:ext>
          </c:extLst>
        </c:ser>
        <c:dLbls>
          <c:dLblPos val="outEnd"/>
          <c:showLegendKey val="0"/>
          <c:showVal val="1"/>
          <c:showCatName val="0"/>
          <c:showSerName val="0"/>
          <c:showPercent val="0"/>
          <c:showBubbleSize val="0"/>
        </c:dLbls>
        <c:gapWidth val="219"/>
        <c:overlap val="-27"/>
        <c:axId val="187594303"/>
        <c:axId val="187605823"/>
        <c:extLst>
          <c:ext xmlns:c15="http://schemas.microsoft.com/office/drawing/2012/chart" uri="{02D57815-91ED-43cb-92C2-25804820EDAC}">
            <c15:filteredBarSeries>
              <c15:ser>
                <c:idx val="0"/>
                <c:order val="0"/>
                <c:tx>
                  <c:strRef>
                    <c:extLst>
                      <c:ext uri="{02D57815-91ED-43cb-92C2-25804820EDAC}">
                        <c15:formulaRef>
                          <c15:sqref>'15-23 Short-Term'!$B$181</c15:sqref>
                        </c15:formulaRef>
                      </c:ext>
                    </c:extLst>
                    <c:strCache>
                      <c:ptCount val="1"/>
                      <c:pt idx="0">
                        <c:v>2020-2021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'15-23 Short-Term'!$A$182:$A$184</c15:sqref>
                        </c15:formulaRef>
                      </c:ext>
                    </c:extLst>
                    <c:strCache>
                      <c:ptCount val="3"/>
                      <c:pt idx="0">
                        <c:v>Taft College</c:v>
                      </c:pt>
                      <c:pt idx="1">
                        <c:v>Regional CCCs</c:v>
                      </c:pt>
                      <c:pt idx="2">
                        <c:v>All CCCs</c:v>
                      </c:pt>
                    </c:strCache>
                  </c:strRef>
                </c:cat>
                <c:val>
                  <c:numRef>
                    <c:extLst>
                      <c:ext uri="{02D57815-91ED-43cb-92C2-25804820EDAC}">
                        <c15:formulaRef>
                          <c15:sqref>'15-23 Short-Term'!$B$182:$B$184</c15:sqref>
                        </c15:formulaRef>
                      </c:ext>
                    </c:extLst>
                    <c:numCache>
                      <c:formatCode>0%</c:formatCode>
                      <c:ptCount val="3"/>
                      <c:pt idx="0">
                        <c:v>0.22</c:v>
                      </c:pt>
                      <c:pt idx="1">
                        <c:v>0.22</c:v>
                      </c:pt>
                      <c:pt idx="2">
                        <c:v>0.22</c:v>
                      </c:pt>
                    </c:numCache>
                  </c:numRef>
                </c:val>
                <c:extLst>
                  <c:ext xmlns:c16="http://schemas.microsoft.com/office/drawing/2014/chart" uri="{C3380CC4-5D6E-409C-BE32-E72D297353CC}">
                    <c16:uniqueId val="{00000001-134F-A347-BA31-07BD339DAEF8}"/>
                  </c:ext>
                </c:extLst>
              </c15:ser>
            </c15:filteredBarSeries>
          </c:ext>
        </c:extLst>
      </c:barChart>
      <c:catAx>
        <c:axId val="187594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605823"/>
        <c:crosses val="autoZero"/>
        <c:auto val="1"/>
        <c:lblAlgn val="ctr"/>
        <c:lblOffset val="100"/>
        <c:noMultiLvlLbl val="0"/>
      </c:catAx>
      <c:valAx>
        <c:axId val="1876058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594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Median Change in Earnings, 2020-2021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Taft College</c:v>
                </c:pt>
                <c:pt idx="1">
                  <c:v>Regional CCCs</c:v>
                </c:pt>
                <c:pt idx="2">
                  <c:v>All CCCs</c:v>
                </c:pt>
              </c:strCache>
            </c:strRef>
          </c:cat>
          <c:val>
            <c:numRef>
              <c:f>Sheet1!$B$2:$B$4</c:f>
              <c:numCache>
                <c:formatCode>0%</c:formatCode>
                <c:ptCount val="3"/>
                <c:pt idx="0">
                  <c:v>0.21</c:v>
                </c:pt>
                <c:pt idx="1">
                  <c:v>0.18</c:v>
                </c:pt>
                <c:pt idx="2">
                  <c:v>0.18</c:v>
                </c:pt>
              </c:numCache>
            </c:numRef>
          </c:val>
          <c:extLst>
            <c:ext xmlns:c16="http://schemas.microsoft.com/office/drawing/2014/chart" uri="{C3380CC4-5D6E-409C-BE32-E72D297353CC}">
              <c16:uniqueId val="{00000000-C1DE-5849-8555-953769C979C0}"/>
            </c:ext>
          </c:extLst>
        </c:ser>
        <c:dLbls>
          <c:dLblPos val="outEnd"/>
          <c:showLegendKey val="0"/>
          <c:showVal val="1"/>
          <c:showCatName val="0"/>
          <c:showSerName val="0"/>
          <c:showPercent val="0"/>
          <c:showBubbleSize val="0"/>
        </c:dLbls>
        <c:gapWidth val="219"/>
        <c:overlap val="-27"/>
        <c:axId val="592719263"/>
        <c:axId val="592718303"/>
      </c:barChart>
      <c:catAx>
        <c:axId val="592719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718303"/>
        <c:crosses val="autoZero"/>
        <c:auto val="1"/>
        <c:lblAlgn val="ctr"/>
        <c:lblOffset val="100"/>
        <c:noMultiLvlLbl val="0"/>
      </c:catAx>
      <c:valAx>
        <c:axId val="592718303"/>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7192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Attained the Living Wage</a:t>
            </a:r>
            <a:r>
              <a:rPr lang="en-US" b="1" baseline="0">
                <a:solidFill>
                  <a:sysClr val="windowText" lastClr="000000"/>
                </a:solidFill>
              </a:rPr>
              <a:t>, 2021-2022</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1"/>
          <c:order val="1"/>
          <c:tx>
            <c:strRef>
              <c:f>'15-23 Short-Term'!$C$233</c:f>
              <c:strCache>
                <c:ptCount val="1"/>
                <c:pt idx="0">
                  <c:v>2021-2022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'15-23 Short-Term'!$A$234:$A$236</c:f>
              <c:strCache>
                <c:ptCount val="3"/>
                <c:pt idx="0">
                  <c:v>Taft College</c:v>
                </c:pt>
                <c:pt idx="1">
                  <c:v>Regional CCCs</c:v>
                </c:pt>
                <c:pt idx="2">
                  <c:v>All CCCs</c:v>
                </c:pt>
              </c:strCache>
            </c:strRef>
          </c:cat>
          <c:val>
            <c:numRef>
              <c:f>'15-23 Short-Term'!$C$234:$C$236</c:f>
              <c:numCache>
                <c:formatCode>0%</c:formatCode>
                <c:ptCount val="3"/>
                <c:pt idx="0">
                  <c:v>0.22</c:v>
                </c:pt>
                <c:pt idx="1">
                  <c:v>0.24</c:v>
                </c:pt>
                <c:pt idx="2">
                  <c:v>0.24</c:v>
                </c:pt>
              </c:numCache>
            </c:numRef>
          </c:val>
          <c:extLst>
            <c:ext xmlns:c16="http://schemas.microsoft.com/office/drawing/2014/chart" uri="{C3380CC4-5D6E-409C-BE32-E72D297353CC}">
              <c16:uniqueId val="{00000000-E6C4-FE4F-9B60-6490028EDF12}"/>
            </c:ext>
          </c:extLst>
        </c:ser>
        <c:dLbls>
          <c:dLblPos val="outEnd"/>
          <c:showLegendKey val="0"/>
          <c:showVal val="1"/>
          <c:showCatName val="0"/>
          <c:showSerName val="0"/>
          <c:showPercent val="0"/>
          <c:showBubbleSize val="0"/>
        </c:dLbls>
        <c:gapWidth val="219"/>
        <c:overlap val="-27"/>
        <c:axId val="187594303"/>
        <c:axId val="187605823"/>
        <c:extLst>
          <c:ext xmlns:c15="http://schemas.microsoft.com/office/drawing/2012/chart" uri="{02D57815-91ED-43cb-92C2-25804820EDAC}">
            <c15:filteredBarSeries>
              <c15:ser>
                <c:idx val="0"/>
                <c:order val="0"/>
                <c:tx>
                  <c:strRef>
                    <c:extLst>
                      <c:ext uri="{02D57815-91ED-43cb-92C2-25804820EDAC}">
                        <c15:formulaRef>
                          <c15:sqref>'15-23 Short-Term'!$B$233</c15:sqref>
                        </c15:formulaRef>
                      </c:ext>
                    </c:extLst>
                    <c:strCache>
                      <c:ptCount val="1"/>
                      <c:pt idx="0">
                        <c:v>2020-2021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'15-23 Short-Term'!$A$234:$A$236</c15:sqref>
                        </c15:formulaRef>
                      </c:ext>
                    </c:extLst>
                    <c:strCache>
                      <c:ptCount val="3"/>
                      <c:pt idx="0">
                        <c:v>Taft College</c:v>
                      </c:pt>
                      <c:pt idx="1">
                        <c:v>Regional CCCs</c:v>
                      </c:pt>
                      <c:pt idx="2">
                        <c:v>All CCCs</c:v>
                      </c:pt>
                    </c:strCache>
                  </c:strRef>
                </c:cat>
                <c:val>
                  <c:numRef>
                    <c:extLst>
                      <c:ext uri="{02D57815-91ED-43cb-92C2-25804820EDAC}">
                        <c15:formulaRef>
                          <c15:sqref>'15-23 Short-Term'!$B$234:$B$236</c15:sqref>
                        </c15:formulaRef>
                      </c:ext>
                    </c:extLst>
                    <c:numCache>
                      <c:formatCode>0%</c:formatCode>
                      <c:ptCount val="3"/>
                      <c:pt idx="0">
                        <c:v>0.22</c:v>
                      </c:pt>
                      <c:pt idx="1">
                        <c:v>0.22</c:v>
                      </c:pt>
                      <c:pt idx="2">
                        <c:v>0.22</c:v>
                      </c:pt>
                    </c:numCache>
                  </c:numRef>
                </c:val>
                <c:extLst>
                  <c:ext xmlns:c16="http://schemas.microsoft.com/office/drawing/2014/chart" uri="{C3380CC4-5D6E-409C-BE32-E72D297353CC}">
                    <c16:uniqueId val="{00000001-E6C4-FE4F-9B60-6490028EDF12}"/>
                  </c:ext>
                </c:extLst>
              </c15:ser>
            </c15:filteredBarSeries>
          </c:ext>
        </c:extLst>
      </c:barChart>
      <c:catAx>
        <c:axId val="187594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605823"/>
        <c:crosses val="autoZero"/>
        <c:auto val="1"/>
        <c:lblAlgn val="ctr"/>
        <c:lblOffset val="100"/>
        <c:noMultiLvlLbl val="0"/>
      </c:catAx>
      <c:valAx>
        <c:axId val="1876058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594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Attained the Living Wage</a:t>
            </a:r>
            <a:r>
              <a:rPr lang="en-US" b="1" baseline="0">
                <a:solidFill>
                  <a:sysClr val="windowText" lastClr="000000"/>
                </a:solidFill>
              </a:rPr>
              <a:t>, 2021-2022</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1"/>
          <c:order val="1"/>
          <c:tx>
            <c:strRef>
              <c:f>'15-23 Short-Term'!$C$233</c:f>
              <c:strCache>
                <c:ptCount val="1"/>
                <c:pt idx="0">
                  <c:v>2021-2022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'15-23 Short-Term'!$A$234:$A$236</c:f>
              <c:strCache>
                <c:ptCount val="3"/>
                <c:pt idx="0">
                  <c:v>Taft College</c:v>
                </c:pt>
                <c:pt idx="1">
                  <c:v>Regional CCCs</c:v>
                </c:pt>
                <c:pt idx="2">
                  <c:v>All CCCs</c:v>
                </c:pt>
              </c:strCache>
            </c:strRef>
          </c:cat>
          <c:val>
            <c:numRef>
              <c:f>'15-23 Short-Term'!$C$234:$C$236</c:f>
              <c:numCache>
                <c:formatCode>0%</c:formatCode>
                <c:ptCount val="3"/>
                <c:pt idx="0">
                  <c:v>0.22</c:v>
                </c:pt>
                <c:pt idx="1">
                  <c:v>0.24</c:v>
                </c:pt>
                <c:pt idx="2">
                  <c:v>0.24</c:v>
                </c:pt>
              </c:numCache>
            </c:numRef>
          </c:val>
          <c:extLst>
            <c:ext xmlns:c16="http://schemas.microsoft.com/office/drawing/2014/chart" uri="{C3380CC4-5D6E-409C-BE32-E72D297353CC}">
              <c16:uniqueId val="{00000000-37D7-604B-A319-E029224C8159}"/>
            </c:ext>
          </c:extLst>
        </c:ser>
        <c:dLbls>
          <c:dLblPos val="outEnd"/>
          <c:showLegendKey val="0"/>
          <c:showVal val="1"/>
          <c:showCatName val="0"/>
          <c:showSerName val="0"/>
          <c:showPercent val="0"/>
          <c:showBubbleSize val="0"/>
        </c:dLbls>
        <c:gapWidth val="219"/>
        <c:overlap val="-27"/>
        <c:axId val="187594303"/>
        <c:axId val="187605823"/>
        <c:extLst>
          <c:ext xmlns:c15="http://schemas.microsoft.com/office/drawing/2012/chart" uri="{02D57815-91ED-43cb-92C2-25804820EDAC}">
            <c15:filteredBarSeries>
              <c15:ser>
                <c:idx val="0"/>
                <c:order val="0"/>
                <c:tx>
                  <c:strRef>
                    <c:extLst>
                      <c:ext uri="{02D57815-91ED-43cb-92C2-25804820EDAC}">
                        <c15:formulaRef>
                          <c15:sqref>'15-23 Short-Term'!$B$233</c15:sqref>
                        </c15:formulaRef>
                      </c:ext>
                    </c:extLst>
                    <c:strCache>
                      <c:ptCount val="1"/>
                      <c:pt idx="0">
                        <c:v>2020-2021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'15-23 Short-Term'!$A$234:$A$236</c15:sqref>
                        </c15:formulaRef>
                      </c:ext>
                    </c:extLst>
                    <c:strCache>
                      <c:ptCount val="3"/>
                      <c:pt idx="0">
                        <c:v>Taft College</c:v>
                      </c:pt>
                      <c:pt idx="1">
                        <c:v>Regional CCCs</c:v>
                      </c:pt>
                      <c:pt idx="2">
                        <c:v>All CCCs</c:v>
                      </c:pt>
                    </c:strCache>
                  </c:strRef>
                </c:cat>
                <c:val>
                  <c:numRef>
                    <c:extLst>
                      <c:ext uri="{02D57815-91ED-43cb-92C2-25804820EDAC}">
                        <c15:formulaRef>
                          <c15:sqref>'15-23 Short-Term'!$B$234:$B$236</c15:sqref>
                        </c15:formulaRef>
                      </c:ext>
                    </c:extLst>
                    <c:numCache>
                      <c:formatCode>0%</c:formatCode>
                      <c:ptCount val="3"/>
                      <c:pt idx="0">
                        <c:v>0.22</c:v>
                      </c:pt>
                      <c:pt idx="1">
                        <c:v>0.22</c:v>
                      </c:pt>
                      <c:pt idx="2">
                        <c:v>0.22</c:v>
                      </c:pt>
                    </c:numCache>
                  </c:numRef>
                </c:val>
                <c:extLst>
                  <c:ext xmlns:c16="http://schemas.microsoft.com/office/drawing/2014/chart" uri="{C3380CC4-5D6E-409C-BE32-E72D297353CC}">
                    <c16:uniqueId val="{00000001-37D7-604B-A319-E029224C8159}"/>
                  </c:ext>
                </c:extLst>
              </c15:ser>
            </c15:filteredBarSeries>
          </c:ext>
        </c:extLst>
      </c:barChart>
      <c:catAx>
        <c:axId val="187594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605823"/>
        <c:crosses val="autoZero"/>
        <c:auto val="1"/>
        <c:lblAlgn val="ctr"/>
        <c:lblOffset val="100"/>
        <c:noMultiLvlLbl val="0"/>
      </c:catAx>
      <c:valAx>
        <c:axId val="1876058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594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Enrollment</c:v>
                </c:pt>
              </c:strCache>
            </c:strRef>
          </c:tx>
          <c:spPr>
            <a:solidFill>
              <a:schemeClr val="accent1"/>
            </a:solidFill>
            <a:ln>
              <a:noFill/>
            </a:ln>
            <a:effectLst/>
          </c:spPr>
          <c:invertIfNegative val="0"/>
          <c:cat>
            <c:strRef>
              <c:f>Sheet1!$A$2:$A$8</c:f>
              <c:strCache>
                <c:ptCount val="7"/>
                <c:pt idx="0">
                  <c:v>2016-17</c:v>
                </c:pt>
                <c:pt idx="1">
                  <c:v>2017-18</c:v>
                </c:pt>
                <c:pt idx="2">
                  <c:v>2018-19</c:v>
                </c:pt>
                <c:pt idx="3">
                  <c:v>2019-20</c:v>
                </c:pt>
                <c:pt idx="4">
                  <c:v>2020-21</c:v>
                </c:pt>
                <c:pt idx="5">
                  <c:v>2021-22</c:v>
                </c:pt>
                <c:pt idx="6">
                  <c:v>2022-23</c:v>
                </c:pt>
              </c:strCache>
            </c:strRef>
          </c:cat>
          <c:val>
            <c:numRef>
              <c:f>Sheet1!$B$2:$B$8</c:f>
              <c:numCache>
                <c:formatCode>#,##0</c:formatCode>
                <c:ptCount val="7"/>
                <c:pt idx="0">
                  <c:v>13676</c:v>
                </c:pt>
                <c:pt idx="1">
                  <c:v>14028</c:v>
                </c:pt>
                <c:pt idx="2">
                  <c:v>14229</c:v>
                </c:pt>
                <c:pt idx="3">
                  <c:v>14766</c:v>
                </c:pt>
                <c:pt idx="4">
                  <c:v>14734</c:v>
                </c:pt>
                <c:pt idx="5">
                  <c:v>15153</c:v>
                </c:pt>
                <c:pt idx="6">
                  <c:v>15275</c:v>
                </c:pt>
              </c:numCache>
            </c:numRef>
          </c:val>
          <c:extLst>
            <c:ext xmlns:c16="http://schemas.microsoft.com/office/drawing/2014/chart" uri="{C3380CC4-5D6E-409C-BE32-E72D297353CC}">
              <c16:uniqueId val="{00000000-1155-F344-9CC5-F192F52AB6EA}"/>
            </c:ext>
          </c:extLst>
        </c:ser>
        <c:dLbls>
          <c:showLegendKey val="0"/>
          <c:showVal val="0"/>
          <c:showCatName val="0"/>
          <c:showSerName val="0"/>
          <c:showPercent val="0"/>
          <c:showBubbleSize val="0"/>
        </c:dLbls>
        <c:gapWidth val="60"/>
        <c:overlap val="-27"/>
        <c:axId val="1838038543"/>
        <c:axId val="1745989151"/>
      </c:barChart>
      <c:catAx>
        <c:axId val="1838038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1" i="0" u="none" strike="noStrike" kern="1200" baseline="0">
                <a:solidFill>
                  <a:schemeClr val="tx1">
                    <a:lumMod val="65000"/>
                    <a:lumOff val="35000"/>
                  </a:schemeClr>
                </a:solidFill>
                <a:latin typeface="+mn-lt"/>
                <a:ea typeface="+mn-ea"/>
                <a:cs typeface="+mn-cs"/>
              </a:defRPr>
            </a:pPr>
            <a:endParaRPr lang="en-US"/>
          </a:p>
        </c:txPr>
        <c:crossAx val="1745989151"/>
        <c:crosses val="autoZero"/>
        <c:auto val="1"/>
        <c:lblAlgn val="ctr"/>
        <c:lblOffset val="100"/>
        <c:noMultiLvlLbl val="0"/>
      </c:catAx>
      <c:valAx>
        <c:axId val="1745989151"/>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3803854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Taft College Headcount</a:t>
            </a:r>
            <a:r>
              <a:rPr lang="en-US" baseline="0"/>
              <a:t> by Ethnicity, 1992-2023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'StudentHeadcount (8)'!$A$2</c:f>
              <c:strCache>
                <c:ptCount val="1"/>
                <c:pt idx="0">
                  <c:v>African-American</c:v>
                </c:pt>
              </c:strCache>
            </c:strRef>
          </c:tx>
          <c:spPr>
            <a:solidFill>
              <a:schemeClr val="accent1"/>
            </a:solidFill>
            <a:ln>
              <a:noFill/>
            </a:ln>
            <a:effectLst/>
          </c:spPr>
          <c:cat>
            <c:strRef>
              <c:f>'StudentHeadcount (8)'!$B$1:$AG$1</c:f>
              <c:strCache>
                <c:ptCount val="32"/>
                <c:pt idx="0">
                  <c:v>Fall 1992</c:v>
                </c:pt>
                <c:pt idx="1">
                  <c:v>Fall 1993</c:v>
                </c:pt>
                <c:pt idx="2">
                  <c:v>Fall 1994</c:v>
                </c:pt>
                <c:pt idx="3">
                  <c:v>Fall 1995</c:v>
                </c:pt>
                <c:pt idx="4">
                  <c:v>Fall 1996</c:v>
                </c:pt>
                <c:pt idx="5">
                  <c:v>Fall 1997</c:v>
                </c:pt>
                <c:pt idx="6">
                  <c:v>Fall 1998</c:v>
                </c:pt>
                <c:pt idx="7">
                  <c:v>Fall 1999</c:v>
                </c:pt>
                <c:pt idx="8">
                  <c:v>Fall 2000</c:v>
                </c:pt>
                <c:pt idx="9">
                  <c:v>Fall 2001</c:v>
                </c:pt>
                <c:pt idx="10">
                  <c:v>Fall 2002</c:v>
                </c:pt>
                <c:pt idx="11">
                  <c:v>Fall 2003</c:v>
                </c:pt>
                <c:pt idx="12">
                  <c:v>Fall 2004</c:v>
                </c:pt>
                <c:pt idx="13">
                  <c:v>Fall 2005</c:v>
                </c:pt>
                <c:pt idx="14">
                  <c:v>Fall 2006</c:v>
                </c:pt>
                <c:pt idx="15">
                  <c:v>Fall 2007</c:v>
                </c:pt>
                <c:pt idx="16">
                  <c:v>Fall 2008</c:v>
                </c:pt>
                <c:pt idx="17">
                  <c:v>Fall 2009</c:v>
                </c:pt>
                <c:pt idx="18">
                  <c:v>Fall 2010</c:v>
                </c:pt>
                <c:pt idx="19">
                  <c:v>Fall 2011</c:v>
                </c:pt>
                <c:pt idx="20">
                  <c:v>Fall 2012</c:v>
                </c:pt>
                <c:pt idx="21">
                  <c:v>Fall 2013</c:v>
                </c:pt>
                <c:pt idx="22">
                  <c:v>Fall 2014</c:v>
                </c:pt>
                <c:pt idx="23">
                  <c:v>Fall 2015</c:v>
                </c:pt>
                <c:pt idx="24">
                  <c:v>Fall 2016</c:v>
                </c:pt>
                <c:pt idx="25">
                  <c:v>Fall 2017</c:v>
                </c:pt>
                <c:pt idx="26">
                  <c:v>Fall 2018</c:v>
                </c:pt>
                <c:pt idx="27">
                  <c:v>Fall 2019</c:v>
                </c:pt>
                <c:pt idx="28">
                  <c:v>Fall 2020</c:v>
                </c:pt>
                <c:pt idx="29">
                  <c:v>Fall 2021</c:v>
                </c:pt>
                <c:pt idx="30">
                  <c:v>Fall 2022</c:v>
                </c:pt>
                <c:pt idx="31">
                  <c:v>Fall 2023</c:v>
                </c:pt>
              </c:strCache>
            </c:strRef>
          </c:cat>
          <c:val>
            <c:numRef>
              <c:f>'StudentHeadcount (8)'!$B$2:$AG$2</c:f>
              <c:numCache>
                <c:formatCode>General</c:formatCode>
                <c:ptCount val="32"/>
                <c:pt idx="0">
                  <c:v>63</c:v>
                </c:pt>
                <c:pt idx="1">
                  <c:v>83</c:v>
                </c:pt>
                <c:pt idx="2">
                  <c:v>8</c:v>
                </c:pt>
                <c:pt idx="3">
                  <c:v>14</c:v>
                </c:pt>
                <c:pt idx="4">
                  <c:v>16</c:v>
                </c:pt>
                <c:pt idx="5">
                  <c:v>127</c:v>
                </c:pt>
                <c:pt idx="6">
                  <c:v>222</c:v>
                </c:pt>
                <c:pt idx="7">
                  <c:v>390</c:v>
                </c:pt>
                <c:pt idx="8">
                  <c:v>653</c:v>
                </c:pt>
                <c:pt idx="9">
                  <c:v>667</c:v>
                </c:pt>
                <c:pt idx="10">
                  <c:v>777</c:v>
                </c:pt>
                <c:pt idx="11">
                  <c:v>468</c:v>
                </c:pt>
                <c:pt idx="12">
                  <c:v>526</c:v>
                </c:pt>
                <c:pt idx="13">
                  <c:v>674</c:v>
                </c:pt>
                <c:pt idx="14">
                  <c:v>755</c:v>
                </c:pt>
                <c:pt idx="15">
                  <c:v>760</c:v>
                </c:pt>
                <c:pt idx="16">
                  <c:v>943</c:v>
                </c:pt>
                <c:pt idx="17">
                  <c:v>257</c:v>
                </c:pt>
                <c:pt idx="18">
                  <c:v>409</c:v>
                </c:pt>
                <c:pt idx="19">
                  <c:v>288</c:v>
                </c:pt>
                <c:pt idx="20">
                  <c:v>355</c:v>
                </c:pt>
                <c:pt idx="21">
                  <c:v>406</c:v>
                </c:pt>
                <c:pt idx="22">
                  <c:v>292</c:v>
                </c:pt>
                <c:pt idx="23">
                  <c:v>275</c:v>
                </c:pt>
                <c:pt idx="24">
                  <c:v>303</c:v>
                </c:pt>
                <c:pt idx="25">
                  <c:v>299</c:v>
                </c:pt>
                <c:pt idx="26">
                  <c:v>270</c:v>
                </c:pt>
                <c:pt idx="27">
                  <c:v>273</c:v>
                </c:pt>
                <c:pt idx="28">
                  <c:v>145</c:v>
                </c:pt>
                <c:pt idx="29">
                  <c:v>150</c:v>
                </c:pt>
                <c:pt idx="30">
                  <c:v>126</c:v>
                </c:pt>
                <c:pt idx="31">
                  <c:v>148</c:v>
                </c:pt>
              </c:numCache>
            </c:numRef>
          </c:val>
          <c:extLst>
            <c:ext xmlns:c16="http://schemas.microsoft.com/office/drawing/2014/chart" uri="{C3380CC4-5D6E-409C-BE32-E72D297353CC}">
              <c16:uniqueId val="{00000000-2D3B-DB44-9DB5-EE631C5BF335}"/>
            </c:ext>
          </c:extLst>
        </c:ser>
        <c:ser>
          <c:idx val="1"/>
          <c:order val="1"/>
          <c:tx>
            <c:strRef>
              <c:f>'StudentHeadcount (8)'!$A$3</c:f>
              <c:strCache>
                <c:ptCount val="1"/>
                <c:pt idx="0">
                  <c:v>Am Indian/AK Native</c:v>
                </c:pt>
              </c:strCache>
            </c:strRef>
          </c:tx>
          <c:spPr>
            <a:solidFill>
              <a:schemeClr val="accent2"/>
            </a:solidFill>
            <a:ln>
              <a:noFill/>
            </a:ln>
            <a:effectLst/>
          </c:spPr>
          <c:cat>
            <c:strRef>
              <c:f>'StudentHeadcount (8)'!$B$1:$AG$1</c:f>
              <c:strCache>
                <c:ptCount val="32"/>
                <c:pt idx="0">
                  <c:v>Fall 1992</c:v>
                </c:pt>
                <c:pt idx="1">
                  <c:v>Fall 1993</c:v>
                </c:pt>
                <c:pt idx="2">
                  <c:v>Fall 1994</c:v>
                </c:pt>
                <c:pt idx="3">
                  <c:v>Fall 1995</c:v>
                </c:pt>
                <c:pt idx="4">
                  <c:v>Fall 1996</c:v>
                </c:pt>
                <c:pt idx="5">
                  <c:v>Fall 1997</c:v>
                </c:pt>
                <c:pt idx="6">
                  <c:v>Fall 1998</c:v>
                </c:pt>
                <c:pt idx="7">
                  <c:v>Fall 1999</c:v>
                </c:pt>
                <c:pt idx="8">
                  <c:v>Fall 2000</c:v>
                </c:pt>
                <c:pt idx="9">
                  <c:v>Fall 2001</c:v>
                </c:pt>
                <c:pt idx="10">
                  <c:v>Fall 2002</c:v>
                </c:pt>
                <c:pt idx="11">
                  <c:v>Fall 2003</c:v>
                </c:pt>
                <c:pt idx="12">
                  <c:v>Fall 2004</c:v>
                </c:pt>
                <c:pt idx="13">
                  <c:v>Fall 2005</c:v>
                </c:pt>
                <c:pt idx="14">
                  <c:v>Fall 2006</c:v>
                </c:pt>
                <c:pt idx="15">
                  <c:v>Fall 2007</c:v>
                </c:pt>
                <c:pt idx="16">
                  <c:v>Fall 2008</c:v>
                </c:pt>
                <c:pt idx="17">
                  <c:v>Fall 2009</c:v>
                </c:pt>
                <c:pt idx="18">
                  <c:v>Fall 2010</c:v>
                </c:pt>
                <c:pt idx="19">
                  <c:v>Fall 2011</c:v>
                </c:pt>
                <c:pt idx="20">
                  <c:v>Fall 2012</c:v>
                </c:pt>
                <c:pt idx="21">
                  <c:v>Fall 2013</c:v>
                </c:pt>
                <c:pt idx="22">
                  <c:v>Fall 2014</c:v>
                </c:pt>
                <c:pt idx="23">
                  <c:v>Fall 2015</c:v>
                </c:pt>
                <c:pt idx="24">
                  <c:v>Fall 2016</c:v>
                </c:pt>
                <c:pt idx="25">
                  <c:v>Fall 2017</c:v>
                </c:pt>
                <c:pt idx="26">
                  <c:v>Fall 2018</c:v>
                </c:pt>
                <c:pt idx="27">
                  <c:v>Fall 2019</c:v>
                </c:pt>
                <c:pt idx="28">
                  <c:v>Fall 2020</c:v>
                </c:pt>
                <c:pt idx="29">
                  <c:v>Fall 2021</c:v>
                </c:pt>
                <c:pt idx="30">
                  <c:v>Fall 2022</c:v>
                </c:pt>
                <c:pt idx="31">
                  <c:v>Fall 2023</c:v>
                </c:pt>
              </c:strCache>
            </c:strRef>
          </c:cat>
          <c:val>
            <c:numRef>
              <c:f>'StudentHeadcount (8)'!$B$3:$AG$3</c:f>
              <c:numCache>
                <c:formatCode>General</c:formatCode>
                <c:ptCount val="32"/>
                <c:pt idx="0">
                  <c:v>34</c:v>
                </c:pt>
                <c:pt idx="1">
                  <c:v>32</c:v>
                </c:pt>
                <c:pt idx="2">
                  <c:v>29</c:v>
                </c:pt>
                <c:pt idx="3">
                  <c:v>34</c:v>
                </c:pt>
                <c:pt idx="4">
                  <c:v>28</c:v>
                </c:pt>
                <c:pt idx="5">
                  <c:v>68</c:v>
                </c:pt>
                <c:pt idx="6">
                  <c:v>101</c:v>
                </c:pt>
                <c:pt idx="7">
                  <c:v>138</c:v>
                </c:pt>
                <c:pt idx="8">
                  <c:v>188</c:v>
                </c:pt>
                <c:pt idx="9">
                  <c:v>167</c:v>
                </c:pt>
                <c:pt idx="10">
                  <c:v>173</c:v>
                </c:pt>
                <c:pt idx="11">
                  <c:v>119</c:v>
                </c:pt>
                <c:pt idx="12">
                  <c:v>140</c:v>
                </c:pt>
                <c:pt idx="13">
                  <c:v>128</c:v>
                </c:pt>
                <c:pt idx="14">
                  <c:v>133</c:v>
                </c:pt>
                <c:pt idx="15">
                  <c:v>151</c:v>
                </c:pt>
                <c:pt idx="16">
                  <c:v>177</c:v>
                </c:pt>
                <c:pt idx="17">
                  <c:v>79</c:v>
                </c:pt>
                <c:pt idx="18">
                  <c:v>65</c:v>
                </c:pt>
                <c:pt idx="19">
                  <c:v>37</c:v>
                </c:pt>
                <c:pt idx="20">
                  <c:v>43</c:v>
                </c:pt>
                <c:pt idx="21">
                  <c:v>38</c:v>
                </c:pt>
                <c:pt idx="22">
                  <c:v>36</c:v>
                </c:pt>
                <c:pt idx="23">
                  <c:v>28</c:v>
                </c:pt>
                <c:pt idx="24">
                  <c:v>53</c:v>
                </c:pt>
                <c:pt idx="25">
                  <c:v>42</c:v>
                </c:pt>
                <c:pt idx="26">
                  <c:v>32</c:v>
                </c:pt>
                <c:pt idx="27">
                  <c:v>43</c:v>
                </c:pt>
                <c:pt idx="28">
                  <c:v>24</c:v>
                </c:pt>
                <c:pt idx="29">
                  <c:v>16</c:v>
                </c:pt>
                <c:pt idx="30">
                  <c:v>14</c:v>
                </c:pt>
                <c:pt idx="31">
                  <c:v>18</c:v>
                </c:pt>
              </c:numCache>
            </c:numRef>
          </c:val>
          <c:extLst>
            <c:ext xmlns:c16="http://schemas.microsoft.com/office/drawing/2014/chart" uri="{C3380CC4-5D6E-409C-BE32-E72D297353CC}">
              <c16:uniqueId val="{00000001-2D3B-DB44-9DB5-EE631C5BF335}"/>
            </c:ext>
          </c:extLst>
        </c:ser>
        <c:ser>
          <c:idx val="2"/>
          <c:order val="2"/>
          <c:tx>
            <c:strRef>
              <c:f>'StudentHeadcount (8)'!$A$4</c:f>
              <c:strCache>
                <c:ptCount val="1"/>
                <c:pt idx="0">
                  <c:v>Asian</c:v>
                </c:pt>
              </c:strCache>
            </c:strRef>
          </c:tx>
          <c:spPr>
            <a:solidFill>
              <a:schemeClr val="accent3"/>
            </a:solidFill>
            <a:ln>
              <a:noFill/>
            </a:ln>
            <a:effectLst/>
          </c:spPr>
          <c:cat>
            <c:strRef>
              <c:f>'StudentHeadcount (8)'!$B$1:$AG$1</c:f>
              <c:strCache>
                <c:ptCount val="32"/>
                <c:pt idx="0">
                  <c:v>Fall 1992</c:v>
                </c:pt>
                <c:pt idx="1">
                  <c:v>Fall 1993</c:v>
                </c:pt>
                <c:pt idx="2">
                  <c:v>Fall 1994</c:v>
                </c:pt>
                <c:pt idx="3">
                  <c:v>Fall 1995</c:v>
                </c:pt>
                <c:pt idx="4">
                  <c:v>Fall 1996</c:v>
                </c:pt>
                <c:pt idx="5">
                  <c:v>Fall 1997</c:v>
                </c:pt>
                <c:pt idx="6">
                  <c:v>Fall 1998</c:v>
                </c:pt>
                <c:pt idx="7">
                  <c:v>Fall 1999</c:v>
                </c:pt>
                <c:pt idx="8">
                  <c:v>Fall 2000</c:v>
                </c:pt>
                <c:pt idx="9">
                  <c:v>Fall 2001</c:v>
                </c:pt>
                <c:pt idx="10">
                  <c:v>Fall 2002</c:v>
                </c:pt>
                <c:pt idx="11">
                  <c:v>Fall 2003</c:v>
                </c:pt>
                <c:pt idx="12">
                  <c:v>Fall 2004</c:v>
                </c:pt>
                <c:pt idx="13">
                  <c:v>Fall 2005</c:v>
                </c:pt>
                <c:pt idx="14">
                  <c:v>Fall 2006</c:v>
                </c:pt>
                <c:pt idx="15">
                  <c:v>Fall 2007</c:v>
                </c:pt>
                <c:pt idx="16">
                  <c:v>Fall 2008</c:v>
                </c:pt>
                <c:pt idx="17">
                  <c:v>Fall 2009</c:v>
                </c:pt>
                <c:pt idx="18">
                  <c:v>Fall 2010</c:v>
                </c:pt>
                <c:pt idx="19">
                  <c:v>Fall 2011</c:v>
                </c:pt>
                <c:pt idx="20">
                  <c:v>Fall 2012</c:v>
                </c:pt>
                <c:pt idx="21">
                  <c:v>Fall 2013</c:v>
                </c:pt>
                <c:pt idx="22">
                  <c:v>Fall 2014</c:v>
                </c:pt>
                <c:pt idx="23">
                  <c:v>Fall 2015</c:v>
                </c:pt>
                <c:pt idx="24">
                  <c:v>Fall 2016</c:v>
                </c:pt>
                <c:pt idx="25">
                  <c:v>Fall 2017</c:v>
                </c:pt>
                <c:pt idx="26">
                  <c:v>Fall 2018</c:v>
                </c:pt>
                <c:pt idx="27">
                  <c:v>Fall 2019</c:v>
                </c:pt>
                <c:pt idx="28">
                  <c:v>Fall 2020</c:v>
                </c:pt>
                <c:pt idx="29">
                  <c:v>Fall 2021</c:v>
                </c:pt>
                <c:pt idx="30">
                  <c:v>Fall 2022</c:v>
                </c:pt>
                <c:pt idx="31">
                  <c:v>Fall 2023</c:v>
                </c:pt>
              </c:strCache>
            </c:strRef>
          </c:cat>
          <c:val>
            <c:numRef>
              <c:f>'StudentHeadcount (8)'!$B$4:$AG$4</c:f>
              <c:numCache>
                <c:formatCode>General</c:formatCode>
                <c:ptCount val="32"/>
                <c:pt idx="0">
                  <c:v>20</c:v>
                </c:pt>
                <c:pt idx="1">
                  <c:v>23</c:v>
                </c:pt>
                <c:pt idx="2">
                  <c:v>20</c:v>
                </c:pt>
                <c:pt idx="3">
                  <c:v>23</c:v>
                </c:pt>
                <c:pt idx="4">
                  <c:v>34</c:v>
                </c:pt>
                <c:pt idx="5">
                  <c:v>53</c:v>
                </c:pt>
                <c:pt idx="6">
                  <c:v>50</c:v>
                </c:pt>
                <c:pt idx="7">
                  <c:v>65</c:v>
                </c:pt>
                <c:pt idx="8">
                  <c:v>100</c:v>
                </c:pt>
                <c:pt idx="9">
                  <c:v>95</c:v>
                </c:pt>
                <c:pt idx="10">
                  <c:v>104</c:v>
                </c:pt>
                <c:pt idx="11">
                  <c:v>102</c:v>
                </c:pt>
                <c:pt idx="12">
                  <c:v>107</c:v>
                </c:pt>
                <c:pt idx="13">
                  <c:v>145</c:v>
                </c:pt>
                <c:pt idx="14">
                  <c:v>132</c:v>
                </c:pt>
                <c:pt idx="15">
                  <c:v>127</c:v>
                </c:pt>
                <c:pt idx="16">
                  <c:v>174</c:v>
                </c:pt>
                <c:pt idx="17">
                  <c:v>62</c:v>
                </c:pt>
                <c:pt idx="18">
                  <c:v>104</c:v>
                </c:pt>
                <c:pt idx="19">
                  <c:v>105</c:v>
                </c:pt>
                <c:pt idx="20">
                  <c:v>118</c:v>
                </c:pt>
                <c:pt idx="21">
                  <c:v>107</c:v>
                </c:pt>
                <c:pt idx="22">
                  <c:v>107</c:v>
                </c:pt>
                <c:pt idx="23">
                  <c:v>82</c:v>
                </c:pt>
                <c:pt idx="24">
                  <c:v>80</c:v>
                </c:pt>
                <c:pt idx="25">
                  <c:v>82</c:v>
                </c:pt>
                <c:pt idx="26">
                  <c:v>101</c:v>
                </c:pt>
                <c:pt idx="27">
                  <c:v>103</c:v>
                </c:pt>
                <c:pt idx="28">
                  <c:v>64</c:v>
                </c:pt>
                <c:pt idx="29">
                  <c:v>63</c:v>
                </c:pt>
                <c:pt idx="30">
                  <c:v>44</c:v>
                </c:pt>
                <c:pt idx="31">
                  <c:v>44</c:v>
                </c:pt>
              </c:numCache>
            </c:numRef>
          </c:val>
          <c:extLst>
            <c:ext xmlns:c16="http://schemas.microsoft.com/office/drawing/2014/chart" uri="{C3380CC4-5D6E-409C-BE32-E72D297353CC}">
              <c16:uniqueId val="{00000002-2D3B-DB44-9DB5-EE631C5BF335}"/>
            </c:ext>
          </c:extLst>
        </c:ser>
        <c:ser>
          <c:idx val="3"/>
          <c:order val="3"/>
          <c:tx>
            <c:strRef>
              <c:f>'StudentHeadcount (8)'!$A$5</c:f>
              <c:strCache>
                <c:ptCount val="1"/>
                <c:pt idx="0">
                  <c:v>Filipino</c:v>
                </c:pt>
              </c:strCache>
            </c:strRef>
          </c:tx>
          <c:spPr>
            <a:solidFill>
              <a:schemeClr val="accent4"/>
            </a:solidFill>
            <a:ln>
              <a:noFill/>
            </a:ln>
            <a:effectLst/>
          </c:spPr>
          <c:cat>
            <c:strRef>
              <c:f>'StudentHeadcount (8)'!$B$1:$AG$1</c:f>
              <c:strCache>
                <c:ptCount val="32"/>
                <c:pt idx="0">
                  <c:v>Fall 1992</c:v>
                </c:pt>
                <c:pt idx="1">
                  <c:v>Fall 1993</c:v>
                </c:pt>
                <c:pt idx="2">
                  <c:v>Fall 1994</c:v>
                </c:pt>
                <c:pt idx="3">
                  <c:v>Fall 1995</c:v>
                </c:pt>
                <c:pt idx="4">
                  <c:v>Fall 1996</c:v>
                </c:pt>
                <c:pt idx="5">
                  <c:v>Fall 1997</c:v>
                </c:pt>
                <c:pt idx="6">
                  <c:v>Fall 1998</c:v>
                </c:pt>
                <c:pt idx="7">
                  <c:v>Fall 1999</c:v>
                </c:pt>
                <c:pt idx="8">
                  <c:v>Fall 2000</c:v>
                </c:pt>
                <c:pt idx="9">
                  <c:v>Fall 2001</c:v>
                </c:pt>
                <c:pt idx="10">
                  <c:v>Fall 2002</c:v>
                </c:pt>
                <c:pt idx="11">
                  <c:v>Fall 2003</c:v>
                </c:pt>
                <c:pt idx="12">
                  <c:v>Fall 2004</c:v>
                </c:pt>
                <c:pt idx="13">
                  <c:v>Fall 2005</c:v>
                </c:pt>
                <c:pt idx="14">
                  <c:v>Fall 2006</c:v>
                </c:pt>
                <c:pt idx="15">
                  <c:v>Fall 2007</c:v>
                </c:pt>
                <c:pt idx="16">
                  <c:v>Fall 2008</c:v>
                </c:pt>
                <c:pt idx="17">
                  <c:v>Fall 2009</c:v>
                </c:pt>
                <c:pt idx="18">
                  <c:v>Fall 2010</c:v>
                </c:pt>
                <c:pt idx="19">
                  <c:v>Fall 2011</c:v>
                </c:pt>
                <c:pt idx="20">
                  <c:v>Fall 2012</c:v>
                </c:pt>
                <c:pt idx="21">
                  <c:v>Fall 2013</c:v>
                </c:pt>
                <c:pt idx="22">
                  <c:v>Fall 2014</c:v>
                </c:pt>
                <c:pt idx="23">
                  <c:v>Fall 2015</c:v>
                </c:pt>
                <c:pt idx="24">
                  <c:v>Fall 2016</c:v>
                </c:pt>
                <c:pt idx="25">
                  <c:v>Fall 2017</c:v>
                </c:pt>
                <c:pt idx="26">
                  <c:v>Fall 2018</c:v>
                </c:pt>
                <c:pt idx="27">
                  <c:v>Fall 2019</c:v>
                </c:pt>
                <c:pt idx="28">
                  <c:v>Fall 2020</c:v>
                </c:pt>
                <c:pt idx="29">
                  <c:v>Fall 2021</c:v>
                </c:pt>
                <c:pt idx="30">
                  <c:v>Fall 2022</c:v>
                </c:pt>
                <c:pt idx="31">
                  <c:v>Fall 2023</c:v>
                </c:pt>
              </c:strCache>
            </c:strRef>
          </c:cat>
          <c:val>
            <c:numRef>
              <c:f>'StudentHeadcount (8)'!$B$5:$AG$5</c:f>
              <c:numCache>
                <c:formatCode>General</c:formatCode>
                <c:ptCount val="32"/>
                <c:pt idx="0">
                  <c:v>5</c:v>
                </c:pt>
                <c:pt idx="1">
                  <c:v>5</c:v>
                </c:pt>
                <c:pt idx="2">
                  <c:v>5</c:v>
                </c:pt>
                <c:pt idx="3">
                  <c:v>6</c:v>
                </c:pt>
                <c:pt idx="4">
                  <c:v>4</c:v>
                </c:pt>
                <c:pt idx="5">
                  <c:v>7</c:v>
                </c:pt>
                <c:pt idx="6">
                  <c:v>8</c:v>
                </c:pt>
                <c:pt idx="7">
                  <c:v>31</c:v>
                </c:pt>
                <c:pt idx="8">
                  <c:v>47</c:v>
                </c:pt>
                <c:pt idx="9">
                  <c:v>104</c:v>
                </c:pt>
                <c:pt idx="10">
                  <c:v>96</c:v>
                </c:pt>
                <c:pt idx="11">
                  <c:v>62</c:v>
                </c:pt>
                <c:pt idx="12">
                  <c:v>75</c:v>
                </c:pt>
                <c:pt idx="13">
                  <c:v>101</c:v>
                </c:pt>
                <c:pt idx="14">
                  <c:v>133</c:v>
                </c:pt>
                <c:pt idx="15">
                  <c:v>97</c:v>
                </c:pt>
                <c:pt idx="16">
                  <c:v>123</c:v>
                </c:pt>
                <c:pt idx="17">
                  <c:v>31</c:v>
                </c:pt>
                <c:pt idx="18">
                  <c:v>74</c:v>
                </c:pt>
                <c:pt idx="19">
                  <c:v>42</c:v>
                </c:pt>
                <c:pt idx="20">
                  <c:v>51</c:v>
                </c:pt>
                <c:pt idx="21">
                  <c:v>56</c:v>
                </c:pt>
                <c:pt idx="22">
                  <c:v>49</c:v>
                </c:pt>
                <c:pt idx="23">
                  <c:v>36</c:v>
                </c:pt>
                <c:pt idx="24">
                  <c:v>45</c:v>
                </c:pt>
                <c:pt idx="25">
                  <c:v>49</c:v>
                </c:pt>
                <c:pt idx="26">
                  <c:v>52</c:v>
                </c:pt>
                <c:pt idx="27">
                  <c:v>36</c:v>
                </c:pt>
                <c:pt idx="28">
                  <c:v>36</c:v>
                </c:pt>
                <c:pt idx="29">
                  <c:v>39</c:v>
                </c:pt>
                <c:pt idx="30">
                  <c:v>15</c:v>
                </c:pt>
                <c:pt idx="31">
                  <c:v>23</c:v>
                </c:pt>
              </c:numCache>
            </c:numRef>
          </c:val>
          <c:extLst>
            <c:ext xmlns:c16="http://schemas.microsoft.com/office/drawing/2014/chart" uri="{C3380CC4-5D6E-409C-BE32-E72D297353CC}">
              <c16:uniqueId val="{00000003-2D3B-DB44-9DB5-EE631C5BF335}"/>
            </c:ext>
          </c:extLst>
        </c:ser>
        <c:ser>
          <c:idx val="4"/>
          <c:order val="4"/>
          <c:tx>
            <c:strRef>
              <c:f>'StudentHeadcount (8)'!$A$6</c:f>
              <c:strCache>
                <c:ptCount val="1"/>
                <c:pt idx="0">
                  <c:v>Hispanic</c:v>
                </c:pt>
              </c:strCache>
            </c:strRef>
          </c:tx>
          <c:spPr>
            <a:solidFill>
              <a:schemeClr val="accent5"/>
            </a:solidFill>
            <a:ln>
              <a:noFill/>
            </a:ln>
            <a:effectLst/>
          </c:spPr>
          <c:cat>
            <c:strRef>
              <c:f>'StudentHeadcount (8)'!$B$1:$AG$1</c:f>
              <c:strCache>
                <c:ptCount val="32"/>
                <c:pt idx="0">
                  <c:v>Fall 1992</c:v>
                </c:pt>
                <c:pt idx="1">
                  <c:v>Fall 1993</c:v>
                </c:pt>
                <c:pt idx="2">
                  <c:v>Fall 1994</c:v>
                </c:pt>
                <c:pt idx="3">
                  <c:v>Fall 1995</c:v>
                </c:pt>
                <c:pt idx="4">
                  <c:v>Fall 1996</c:v>
                </c:pt>
                <c:pt idx="5">
                  <c:v>Fall 1997</c:v>
                </c:pt>
                <c:pt idx="6">
                  <c:v>Fall 1998</c:v>
                </c:pt>
                <c:pt idx="7">
                  <c:v>Fall 1999</c:v>
                </c:pt>
                <c:pt idx="8">
                  <c:v>Fall 2000</c:v>
                </c:pt>
                <c:pt idx="9">
                  <c:v>Fall 2001</c:v>
                </c:pt>
                <c:pt idx="10">
                  <c:v>Fall 2002</c:v>
                </c:pt>
                <c:pt idx="11">
                  <c:v>Fall 2003</c:v>
                </c:pt>
                <c:pt idx="12">
                  <c:v>Fall 2004</c:v>
                </c:pt>
                <c:pt idx="13">
                  <c:v>Fall 2005</c:v>
                </c:pt>
                <c:pt idx="14">
                  <c:v>Fall 2006</c:v>
                </c:pt>
                <c:pt idx="15">
                  <c:v>Fall 2007</c:v>
                </c:pt>
                <c:pt idx="16">
                  <c:v>Fall 2008</c:v>
                </c:pt>
                <c:pt idx="17">
                  <c:v>Fall 2009</c:v>
                </c:pt>
                <c:pt idx="18">
                  <c:v>Fall 2010</c:v>
                </c:pt>
                <c:pt idx="19">
                  <c:v>Fall 2011</c:v>
                </c:pt>
                <c:pt idx="20">
                  <c:v>Fall 2012</c:v>
                </c:pt>
                <c:pt idx="21">
                  <c:v>Fall 2013</c:v>
                </c:pt>
                <c:pt idx="22">
                  <c:v>Fall 2014</c:v>
                </c:pt>
                <c:pt idx="23">
                  <c:v>Fall 2015</c:v>
                </c:pt>
                <c:pt idx="24">
                  <c:v>Fall 2016</c:v>
                </c:pt>
                <c:pt idx="25">
                  <c:v>Fall 2017</c:v>
                </c:pt>
                <c:pt idx="26">
                  <c:v>Fall 2018</c:v>
                </c:pt>
                <c:pt idx="27">
                  <c:v>Fall 2019</c:v>
                </c:pt>
                <c:pt idx="28">
                  <c:v>Fall 2020</c:v>
                </c:pt>
                <c:pt idx="29">
                  <c:v>Fall 2021</c:v>
                </c:pt>
                <c:pt idx="30">
                  <c:v>Fall 2022</c:v>
                </c:pt>
                <c:pt idx="31">
                  <c:v>Fall 2023</c:v>
                </c:pt>
              </c:strCache>
            </c:strRef>
          </c:cat>
          <c:val>
            <c:numRef>
              <c:f>'StudentHeadcount (8)'!$B$6:$AG$6</c:f>
              <c:numCache>
                <c:formatCode>General</c:formatCode>
                <c:ptCount val="32"/>
                <c:pt idx="0">
                  <c:v>111</c:v>
                </c:pt>
                <c:pt idx="1">
                  <c:v>152</c:v>
                </c:pt>
                <c:pt idx="2">
                  <c:v>126</c:v>
                </c:pt>
                <c:pt idx="3">
                  <c:v>134</c:v>
                </c:pt>
                <c:pt idx="4">
                  <c:v>175</c:v>
                </c:pt>
                <c:pt idx="5">
                  <c:v>452</c:v>
                </c:pt>
                <c:pt idx="6">
                  <c:v>749</c:v>
                </c:pt>
                <c:pt idx="7" formatCode="#,##0">
                  <c:v>1207</c:v>
                </c:pt>
                <c:pt idx="8" formatCode="#,##0">
                  <c:v>2258</c:v>
                </c:pt>
                <c:pt idx="9" formatCode="#,##0">
                  <c:v>3072</c:v>
                </c:pt>
                <c:pt idx="10" formatCode="#,##0">
                  <c:v>3101</c:v>
                </c:pt>
                <c:pt idx="11" formatCode="#,##0">
                  <c:v>2265</c:v>
                </c:pt>
                <c:pt idx="12" formatCode="#,##0">
                  <c:v>3170</c:v>
                </c:pt>
                <c:pt idx="13" formatCode="#,##0">
                  <c:v>3816</c:v>
                </c:pt>
                <c:pt idx="14" formatCode="#,##0">
                  <c:v>4514</c:v>
                </c:pt>
                <c:pt idx="15" formatCode="#,##0">
                  <c:v>4888</c:v>
                </c:pt>
                <c:pt idx="16" formatCode="#,##0">
                  <c:v>5700</c:v>
                </c:pt>
                <c:pt idx="17" formatCode="#,##0">
                  <c:v>2181</c:v>
                </c:pt>
                <c:pt idx="18" formatCode="#,##0">
                  <c:v>3768</c:v>
                </c:pt>
                <c:pt idx="19" formatCode="#,##0">
                  <c:v>2623</c:v>
                </c:pt>
                <c:pt idx="20" formatCode="#,##0">
                  <c:v>2659</c:v>
                </c:pt>
                <c:pt idx="21" formatCode="#,##0">
                  <c:v>2802</c:v>
                </c:pt>
                <c:pt idx="22" formatCode="#,##0">
                  <c:v>2888</c:v>
                </c:pt>
                <c:pt idx="23" formatCode="#,##0">
                  <c:v>2565</c:v>
                </c:pt>
                <c:pt idx="24" formatCode="#,##0">
                  <c:v>2930</c:v>
                </c:pt>
                <c:pt idx="25" formatCode="#,##0">
                  <c:v>3100</c:v>
                </c:pt>
                <c:pt idx="26" formatCode="#,##0">
                  <c:v>3083</c:v>
                </c:pt>
                <c:pt idx="27" formatCode="#,##0">
                  <c:v>3093</c:v>
                </c:pt>
                <c:pt idx="28" formatCode="#,##0">
                  <c:v>2145</c:v>
                </c:pt>
                <c:pt idx="29" formatCode="#,##0">
                  <c:v>2386</c:v>
                </c:pt>
                <c:pt idx="30" formatCode="#,##0">
                  <c:v>2644</c:v>
                </c:pt>
                <c:pt idx="31" formatCode="#,##0">
                  <c:v>2639</c:v>
                </c:pt>
              </c:numCache>
            </c:numRef>
          </c:val>
          <c:extLst>
            <c:ext xmlns:c16="http://schemas.microsoft.com/office/drawing/2014/chart" uri="{C3380CC4-5D6E-409C-BE32-E72D297353CC}">
              <c16:uniqueId val="{00000004-2D3B-DB44-9DB5-EE631C5BF335}"/>
            </c:ext>
          </c:extLst>
        </c:ser>
        <c:ser>
          <c:idx val="5"/>
          <c:order val="5"/>
          <c:tx>
            <c:strRef>
              <c:f>'StudentHeadcount (8)'!$A$7</c:f>
              <c:strCache>
                <c:ptCount val="1"/>
                <c:pt idx="0">
                  <c:v>Multi-Ethnicity</c:v>
                </c:pt>
              </c:strCache>
            </c:strRef>
          </c:tx>
          <c:spPr>
            <a:solidFill>
              <a:schemeClr val="accent6"/>
            </a:solidFill>
            <a:ln>
              <a:noFill/>
            </a:ln>
            <a:effectLst/>
          </c:spPr>
          <c:cat>
            <c:strRef>
              <c:f>'StudentHeadcount (8)'!$B$1:$AG$1</c:f>
              <c:strCache>
                <c:ptCount val="32"/>
                <c:pt idx="0">
                  <c:v>Fall 1992</c:v>
                </c:pt>
                <c:pt idx="1">
                  <c:v>Fall 1993</c:v>
                </c:pt>
                <c:pt idx="2">
                  <c:v>Fall 1994</c:v>
                </c:pt>
                <c:pt idx="3">
                  <c:v>Fall 1995</c:v>
                </c:pt>
                <c:pt idx="4">
                  <c:v>Fall 1996</c:v>
                </c:pt>
                <c:pt idx="5">
                  <c:v>Fall 1997</c:v>
                </c:pt>
                <c:pt idx="6">
                  <c:v>Fall 1998</c:v>
                </c:pt>
                <c:pt idx="7">
                  <c:v>Fall 1999</c:v>
                </c:pt>
                <c:pt idx="8">
                  <c:v>Fall 2000</c:v>
                </c:pt>
                <c:pt idx="9">
                  <c:v>Fall 2001</c:v>
                </c:pt>
                <c:pt idx="10">
                  <c:v>Fall 2002</c:v>
                </c:pt>
                <c:pt idx="11">
                  <c:v>Fall 2003</c:v>
                </c:pt>
                <c:pt idx="12">
                  <c:v>Fall 2004</c:v>
                </c:pt>
                <c:pt idx="13">
                  <c:v>Fall 2005</c:v>
                </c:pt>
                <c:pt idx="14">
                  <c:v>Fall 2006</c:v>
                </c:pt>
                <c:pt idx="15">
                  <c:v>Fall 2007</c:v>
                </c:pt>
                <c:pt idx="16">
                  <c:v>Fall 2008</c:v>
                </c:pt>
                <c:pt idx="17">
                  <c:v>Fall 2009</c:v>
                </c:pt>
                <c:pt idx="18">
                  <c:v>Fall 2010</c:v>
                </c:pt>
                <c:pt idx="19">
                  <c:v>Fall 2011</c:v>
                </c:pt>
                <c:pt idx="20">
                  <c:v>Fall 2012</c:v>
                </c:pt>
                <c:pt idx="21">
                  <c:v>Fall 2013</c:v>
                </c:pt>
                <c:pt idx="22">
                  <c:v>Fall 2014</c:v>
                </c:pt>
                <c:pt idx="23">
                  <c:v>Fall 2015</c:v>
                </c:pt>
                <c:pt idx="24">
                  <c:v>Fall 2016</c:v>
                </c:pt>
                <c:pt idx="25">
                  <c:v>Fall 2017</c:v>
                </c:pt>
                <c:pt idx="26">
                  <c:v>Fall 2018</c:v>
                </c:pt>
                <c:pt idx="27">
                  <c:v>Fall 2019</c:v>
                </c:pt>
                <c:pt idx="28">
                  <c:v>Fall 2020</c:v>
                </c:pt>
                <c:pt idx="29">
                  <c:v>Fall 2021</c:v>
                </c:pt>
                <c:pt idx="30">
                  <c:v>Fall 2022</c:v>
                </c:pt>
                <c:pt idx="31">
                  <c:v>Fall 2023</c:v>
                </c:pt>
              </c:strCache>
            </c:strRef>
          </c:cat>
          <c:val>
            <c:numRef>
              <c:f>'StudentHeadcount (8)'!$B$7:$AG$7</c:f>
              <c:numCache>
                <c:formatCode>General</c:formatCode>
                <c:ptCount val="32"/>
                <c:pt idx="16">
                  <c:v>5</c:v>
                </c:pt>
                <c:pt idx="17">
                  <c:v>28</c:v>
                </c:pt>
                <c:pt idx="18">
                  <c:v>124</c:v>
                </c:pt>
                <c:pt idx="19">
                  <c:v>147</c:v>
                </c:pt>
                <c:pt idx="20">
                  <c:v>132</c:v>
                </c:pt>
                <c:pt idx="21">
                  <c:v>148</c:v>
                </c:pt>
                <c:pt idx="22">
                  <c:v>137</c:v>
                </c:pt>
                <c:pt idx="23">
                  <c:v>130</c:v>
                </c:pt>
                <c:pt idx="24">
                  <c:v>152</c:v>
                </c:pt>
                <c:pt idx="25">
                  <c:v>165</c:v>
                </c:pt>
                <c:pt idx="26">
                  <c:v>143</c:v>
                </c:pt>
                <c:pt idx="27">
                  <c:v>135</c:v>
                </c:pt>
                <c:pt idx="28">
                  <c:v>129</c:v>
                </c:pt>
                <c:pt idx="29">
                  <c:v>92</c:v>
                </c:pt>
                <c:pt idx="30">
                  <c:v>99</c:v>
                </c:pt>
                <c:pt idx="31">
                  <c:v>94</c:v>
                </c:pt>
              </c:numCache>
            </c:numRef>
          </c:val>
          <c:extLst>
            <c:ext xmlns:c16="http://schemas.microsoft.com/office/drawing/2014/chart" uri="{C3380CC4-5D6E-409C-BE32-E72D297353CC}">
              <c16:uniqueId val="{00000005-2D3B-DB44-9DB5-EE631C5BF335}"/>
            </c:ext>
          </c:extLst>
        </c:ser>
        <c:ser>
          <c:idx val="6"/>
          <c:order val="6"/>
          <c:tx>
            <c:strRef>
              <c:f>'StudentHeadcount (8)'!$A$8</c:f>
              <c:strCache>
                <c:ptCount val="1"/>
                <c:pt idx="0">
                  <c:v>Pacific Islander</c:v>
                </c:pt>
              </c:strCache>
            </c:strRef>
          </c:tx>
          <c:spPr>
            <a:solidFill>
              <a:schemeClr val="accent1">
                <a:lumMod val="60000"/>
              </a:schemeClr>
            </a:solidFill>
            <a:ln>
              <a:noFill/>
            </a:ln>
            <a:effectLst/>
          </c:spPr>
          <c:cat>
            <c:strRef>
              <c:f>'StudentHeadcount (8)'!$B$1:$AG$1</c:f>
              <c:strCache>
                <c:ptCount val="32"/>
                <c:pt idx="0">
                  <c:v>Fall 1992</c:v>
                </c:pt>
                <c:pt idx="1">
                  <c:v>Fall 1993</c:v>
                </c:pt>
                <c:pt idx="2">
                  <c:v>Fall 1994</c:v>
                </c:pt>
                <c:pt idx="3">
                  <c:v>Fall 1995</c:v>
                </c:pt>
                <c:pt idx="4">
                  <c:v>Fall 1996</c:v>
                </c:pt>
                <c:pt idx="5">
                  <c:v>Fall 1997</c:v>
                </c:pt>
                <c:pt idx="6">
                  <c:v>Fall 1998</c:v>
                </c:pt>
                <c:pt idx="7">
                  <c:v>Fall 1999</c:v>
                </c:pt>
                <c:pt idx="8">
                  <c:v>Fall 2000</c:v>
                </c:pt>
                <c:pt idx="9">
                  <c:v>Fall 2001</c:v>
                </c:pt>
                <c:pt idx="10">
                  <c:v>Fall 2002</c:v>
                </c:pt>
                <c:pt idx="11">
                  <c:v>Fall 2003</c:v>
                </c:pt>
                <c:pt idx="12">
                  <c:v>Fall 2004</c:v>
                </c:pt>
                <c:pt idx="13">
                  <c:v>Fall 2005</c:v>
                </c:pt>
                <c:pt idx="14">
                  <c:v>Fall 2006</c:v>
                </c:pt>
                <c:pt idx="15">
                  <c:v>Fall 2007</c:v>
                </c:pt>
                <c:pt idx="16">
                  <c:v>Fall 2008</c:v>
                </c:pt>
                <c:pt idx="17">
                  <c:v>Fall 2009</c:v>
                </c:pt>
                <c:pt idx="18">
                  <c:v>Fall 2010</c:v>
                </c:pt>
                <c:pt idx="19">
                  <c:v>Fall 2011</c:v>
                </c:pt>
                <c:pt idx="20">
                  <c:v>Fall 2012</c:v>
                </c:pt>
                <c:pt idx="21">
                  <c:v>Fall 2013</c:v>
                </c:pt>
                <c:pt idx="22">
                  <c:v>Fall 2014</c:v>
                </c:pt>
                <c:pt idx="23">
                  <c:v>Fall 2015</c:v>
                </c:pt>
                <c:pt idx="24">
                  <c:v>Fall 2016</c:v>
                </c:pt>
                <c:pt idx="25">
                  <c:v>Fall 2017</c:v>
                </c:pt>
                <c:pt idx="26">
                  <c:v>Fall 2018</c:v>
                </c:pt>
                <c:pt idx="27">
                  <c:v>Fall 2019</c:v>
                </c:pt>
                <c:pt idx="28">
                  <c:v>Fall 2020</c:v>
                </c:pt>
                <c:pt idx="29">
                  <c:v>Fall 2021</c:v>
                </c:pt>
                <c:pt idx="30">
                  <c:v>Fall 2022</c:v>
                </c:pt>
                <c:pt idx="31">
                  <c:v>Fall 2023</c:v>
                </c:pt>
              </c:strCache>
            </c:strRef>
          </c:cat>
          <c:val>
            <c:numRef>
              <c:f>'StudentHeadcount (8)'!$B$8:$AG$8</c:f>
              <c:numCache>
                <c:formatCode>General</c:formatCode>
                <c:ptCount val="32"/>
                <c:pt idx="0">
                  <c:v>12</c:v>
                </c:pt>
                <c:pt idx="1">
                  <c:v>14</c:v>
                </c:pt>
                <c:pt idx="2">
                  <c:v>14</c:v>
                </c:pt>
                <c:pt idx="3">
                  <c:v>14</c:v>
                </c:pt>
                <c:pt idx="4">
                  <c:v>15</c:v>
                </c:pt>
                <c:pt idx="5">
                  <c:v>26</c:v>
                </c:pt>
                <c:pt idx="6">
                  <c:v>35</c:v>
                </c:pt>
                <c:pt idx="7">
                  <c:v>33</c:v>
                </c:pt>
                <c:pt idx="8">
                  <c:v>38</c:v>
                </c:pt>
                <c:pt idx="9">
                  <c:v>42</c:v>
                </c:pt>
                <c:pt idx="10">
                  <c:v>40</c:v>
                </c:pt>
                <c:pt idx="11">
                  <c:v>41</c:v>
                </c:pt>
                <c:pt idx="12">
                  <c:v>44</c:v>
                </c:pt>
                <c:pt idx="13">
                  <c:v>56</c:v>
                </c:pt>
                <c:pt idx="14">
                  <c:v>54</c:v>
                </c:pt>
                <c:pt idx="15">
                  <c:v>50</c:v>
                </c:pt>
                <c:pt idx="16">
                  <c:v>72</c:v>
                </c:pt>
                <c:pt idx="17">
                  <c:v>27</c:v>
                </c:pt>
                <c:pt idx="18">
                  <c:v>29</c:v>
                </c:pt>
                <c:pt idx="19">
                  <c:v>20</c:v>
                </c:pt>
                <c:pt idx="20">
                  <c:v>22</c:v>
                </c:pt>
                <c:pt idx="21">
                  <c:v>28</c:v>
                </c:pt>
                <c:pt idx="22">
                  <c:v>14</c:v>
                </c:pt>
                <c:pt idx="23">
                  <c:v>21</c:v>
                </c:pt>
                <c:pt idx="24">
                  <c:v>24</c:v>
                </c:pt>
                <c:pt idx="25">
                  <c:v>23</c:v>
                </c:pt>
                <c:pt idx="26">
                  <c:v>21</c:v>
                </c:pt>
                <c:pt idx="27">
                  <c:v>16</c:v>
                </c:pt>
                <c:pt idx="28">
                  <c:v>8</c:v>
                </c:pt>
                <c:pt idx="29">
                  <c:v>11</c:v>
                </c:pt>
                <c:pt idx="30">
                  <c:v>8</c:v>
                </c:pt>
                <c:pt idx="31">
                  <c:v>5</c:v>
                </c:pt>
              </c:numCache>
            </c:numRef>
          </c:val>
          <c:extLst>
            <c:ext xmlns:c16="http://schemas.microsoft.com/office/drawing/2014/chart" uri="{C3380CC4-5D6E-409C-BE32-E72D297353CC}">
              <c16:uniqueId val="{00000006-2D3B-DB44-9DB5-EE631C5BF335}"/>
            </c:ext>
          </c:extLst>
        </c:ser>
        <c:ser>
          <c:idx val="7"/>
          <c:order val="7"/>
          <c:tx>
            <c:strRef>
              <c:f>'StudentHeadcount (8)'!$A$9</c:f>
              <c:strCache>
                <c:ptCount val="1"/>
                <c:pt idx="0">
                  <c:v>Unknown</c:v>
                </c:pt>
              </c:strCache>
            </c:strRef>
          </c:tx>
          <c:spPr>
            <a:solidFill>
              <a:schemeClr val="accent2">
                <a:lumMod val="60000"/>
              </a:schemeClr>
            </a:solidFill>
            <a:ln>
              <a:noFill/>
            </a:ln>
            <a:effectLst/>
          </c:spPr>
          <c:cat>
            <c:strRef>
              <c:f>'StudentHeadcount (8)'!$B$1:$AG$1</c:f>
              <c:strCache>
                <c:ptCount val="32"/>
                <c:pt idx="0">
                  <c:v>Fall 1992</c:v>
                </c:pt>
                <c:pt idx="1">
                  <c:v>Fall 1993</c:v>
                </c:pt>
                <c:pt idx="2">
                  <c:v>Fall 1994</c:v>
                </c:pt>
                <c:pt idx="3">
                  <c:v>Fall 1995</c:v>
                </c:pt>
                <c:pt idx="4">
                  <c:v>Fall 1996</c:v>
                </c:pt>
                <c:pt idx="5">
                  <c:v>Fall 1997</c:v>
                </c:pt>
                <c:pt idx="6">
                  <c:v>Fall 1998</c:v>
                </c:pt>
                <c:pt idx="7">
                  <c:v>Fall 1999</c:v>
                </c:pt>
                <c:pt idx="8">
                  <c:v>Fall 2000</c:v>
                </c:pt>
                <c:pt idx="9">
                  <c:v>Fall 2001</c:v>
                </c:pt>
                <c:pt idx="10">
                  <c:v>Fall 2002</c:v>
                </c:pt>
                <c:pt idx="11">
                  <c:v>Fall 2003</c:v>
                </c:pt>
                <c:pt idx="12">
                  <c:v>Fall 2004</c:v>
                </c:pt>
                <c:pt idx="13">
                  <c:v>Fall 2005</c:v>
                </c:pt>
                <c:pt idx="14">
                  <c:v>Fall 2006</c:v>
                </c:pt>
                <c:pt idx="15">
                  <c:v>Fall 2007</c:v>
                </c:pt>
                <c:pt idx="16">
                  <c:v>Fall 2008</c:v>
                </c:pt>
                <c:pt idx="17">
                  <c:v>Fall 2009</c:v>
                </c:pt>
                <c:pt idx="18">
                  <c:v>Fall 2010</c:v>
                </c:pt>
                <c:pt idx="19">
                  <c:v>Fall 2011</c:v>
                </c:pt>
                <c:pt idx="20">
                  <c:v>Fall 2012</c:v>
                </c:pt>
                <c:pt idx="21">
                  <c:v>Fall 2013</c:v>
                </c:pt>
                <c:pt idx="22">
                  <c:v>Fall 2014</c:v>
                </c:pt>
                <c:pt idx="23">
                  <c:v>Fall 2015</c:v>
                </c:pt>
                <c:pt idx="24">
                  <c:v>Fall 2016</c:v>
                </c:pt>
                <c:pt idx="25">
                  <c:v>Fall 2017</c:v>
                </c:pt>
                <c:pt idx="26">
                  <c:v>Fall 2018</c:v>
                </c:pt>
                <c:pt idx="27">
                  <c:v>Fall 2019</c:v>
                </c:pt>
                <c:pt idx="28">
                  <c:v>Fall 2020</c:v>
                </c:pt>
                <c:pt idx="29">
                  <c:v>Fall 2021</c:v>
                </c:pt>
                <c:pt idx="30">
                  <c:v>Fall 2022</c:v>
                </c:pt>
                <c:pt idx="31">
                  <c:v>Fall 2023</c:v>
                </c:pt>
              </c:strCache>
            </c:strRef>
          </c:cat>
          <c:val>
            <c:numRef>
              <c:f>'StudentHeadcount (8)'!$B$9:$AG$9</c:f>
              <c:numCache>
                <c:formatCode>General</c:formatCode>
                <c:ptCount val="32"/>
                <c:pt idx="0">
                  <c:v>18</c:v>
                </c:pt>
                <c:pt idx="1">
                  <c:v>19</c:v>
                </c:pt>
                <c:pt idx="2">
                  <c:v>16</c:v>
                </c:pt>
                <c:pt idx="3">
                  <c:v>16</c:v>
                </c:pt>
                <c:pt idx="4">
                  <c:v>17</c:v>
                </c:pt>
                <c:pt idx="5">
                  <c:v>75</c:v>
                </c:pt>
                <c:pt idx="6">
                  <c:v>111</c:v>
                </c:pt>
                <c:pt idx="7">
                  <c:v>93</c:v>
                </c:pt>
                <c:pt idx="8">
                  <c:v>178</c:v>
                </c:pt>
                <c:pt idx="9">
                  <c:v>185</c:v>
                </c:pt>
                <c:pt idx="10">
                  <c:v>139</c:v>
                </c:pt>
                <c:pt idx="11">
                  <c:v>125</c:v>
                </c:pt>
                <c:pt idx="12">
                  <c:v>184</c:v>
                </c:pt>
                <c:pt idx="13">
                  <c:v>264</c:v>
                </c:pt>
                <c:pt idx="14">
                  <c:v>309</c:v>
                </c:pt>
                <c:pt idx="15">
                  <c:v>348</c:v>
                </c:pt>
                <c:pt idx="16">
                  <c:v>543</c:v>
                </c:pt>
                <c:pt idx="17" formatCode="#,##0">
                  <c:v>2173</c:v>
                </c:pt>
                <c:pt idx="18">
                  <c:v>286</c:v>
                </c:pt>
                <c:pt idx="19">
                  <c:v>44</c:v>
                </c:pt>
                <c:pt idx="20">
                  <c:v>35</c:v>
                </c:pt>
                <c:pt idx="21">
                  <c:v>34</c:v>
                </c:pt>
                <c:pt idx="22">
                  <c:v>27</c:v>
                </c:pt>
                <c:pt idx="23">
                  <c:v>77</c:v>
                </c:pt>
                <c:pt idx="24">
                  <c:v>62</c:v>
                </c:pt>
                <c:pt idx="25">
                  <c:v>23</c:v>
                </c:pt>
                <c:pt idx="26">
                  <c:v>24</c:v>
                </c:pt>
                <c:pt idx="27">
                  <c:v>46</c:v>
                </c:pt>
                <c:pt idx="28">
                  <c:v>25</c:v>
                </c:pt>
                <c:pt idx="29">
                  <c:v>41</c:v>
                </c:pt>
                <c:pt idx="30">
                  <c:v>338</c:v>
                </c:pt>
                <c:pt idx="31">
                  <c:v>296</c:v>
                </c:pt>
              </c:numCache>
            </c:numRef>
          </c:val>
          <c:extLst>
            <c:ext xmlns:c16="http://schemas.microsoft.com/office/drawing/2014/chart" uri="{C3380CC4-5D6E-409C-BE32-E72D297353CC}">
              <c16:uniqueId val="{00000007-2D3B-DB44-9DB5-EE631C5BF335}"/>
            </c:ext>
          </c:extLst>
        </c:ser>
        <c:ser>
          <c:idx val="8"/>
          <c:order val="8"/>
          <c:tx>
            <c:strRef>
              <c:f>'StudentHeadcount (8)'!$A$10</c:f>
              <c:strCache>
                <c:ptCount val="1"/>
                <c:pt idx="0">
                  <c:v>White Non-Hispanic</c:v>
                </c:pt>
              </c:strCache>
            </c:strRef>
          </c:tx>
          <c:spPr>
            <a:solidFill>
              <a:schemeClr val="accent3">
                <a:lumMod val="60000"/>
              </a:schemeClr>
            </a:solidFill>
            <a:ln>
              <a:noFill/>
            </a:ln>
            <a:effectLst/>
          </c:spPr>
          <c:cat>
            <c:strRef>
              <c:f>'StudentHeadcount (8)'!$B$1:$AG$1</c:f>
              <c:strCache>
                <c:ptCount val="32"/>
                <c:pt idx="0">
                  <c:v>Fall 1992</c:v>
                </c:pt>
                <c:pt idx="1">
                  <c:v>Fall 1993</c:v>
                </c:pt>
                <c:pt idx="2">
                  <c:v>Fall 1994</c:v>
                </c:pt>
                <c:pt idx="3">
                  <c:v>Fall 1995</c:v>
                </c:pt>
                <c:pt idx="4">
                  <c:v>Fall 1996</c:v>
                </c:pt>
                <c:pt idx="5">
                  <c:v>Fall 1997</c:v>
                </c:pt>
                <c:pt idx="6">
                  <c:v>Fall 1998</c:v>
                </c:pt>
                <c:pt idx="7">
                  <c:v>Fall 1999</c:v>
                </c:pt>
                <c:pt idx="8">
                  <c:v>Fall 2000</c:v>
                </c:pt>
                <c:pt idx="9">
                  <c:v>Fall 2001</c:v>
                </c:pt>
                <c:pt idx="10">
                  <c:v>Fall 2002</c:v>
                </c:pt>
                <c:pt idx="11">
                  <c:v>Fall 2003</c:v>
                </c:pt>
                <c:pt idx="12">
                  <c:v>Fall 2004</c:v>
                </c:pt>
                <c:pt idx="13">
                  <c:v>Fall 2005</c:v>
                </c:pt>
                <c:pt idx="14">
                  <c:v>Fall 2006</c:v>
                </c:pt>
                <c:pt idx="15">
                  <c:v>Fall 2007</c:v>
                </c:pt>
                <c:pt idx="16">
                  <c:v>Fall 2008</c:v>
                </c:pt>
                <c:pt idx="17">
                  <c:v>Fall 2009</c:v>
                </c:pt>
                <c:pt idx="18">
                  <c:v>Fall 2010</c:v>
                </c:pt>
                <c:pt idx="19">
                  <c:v>Fall 2011</c:v>
                </c:pt>
                <c:pt idx="20">
                  <c:v>Fall 2012</c:v>
                </c:pt>
                <c:pt idx="21">
                  <c:v>Fall 2013</c:v>
                </c:pt>
                <c:pt idx="22">
                  <c:v>Fall 2014</c:v>
                </c:pt>
                <c:pt idx="23">
                  <c:v>Fall 2015</c:v>
                </c:pt>
                <c:pt idx="24">
                  <c:v>Fall 2016</c:v>
                </c:pt>
                <c:pt idx="25">
                  <c:v>Fall 2017</c:v>
                </c:pt>
                <c:pt idx="26">
                  <c:v>Fall 2018</c:v>
                </c:pt>
                <c:pt idx="27">
                  <c:v>Fall 2019</c:v>
                </c:pt>
                <c:pt idx="28">
                  <c:v>Fall 2020</c:v>
                </c:pt>
                <c:pt idx="29">
                  <c:v>Fall 2021</c:v>
                </c:pt>
                <c:pt idx="30">
                  <c:v>Fall 2022</c:v>
                </c:pt>
                <c:pt idx="31">
                  <c:v>Fall 2023</c:v>
                </c:pt>
              </c:strCache>
            </c:strRef>
          </c:cat>
          <c:val>
            <c:numRef>
              <c:f>'StudentHeadcount (8)'!$B$10:$AG$10</c:f>
              <c:numCache>
                <c:formatCode>#,##0</c:formatCode>
                <c:ptCount val="32"/>
                <c:pt idx="0" formatCode="General">
                  <c:v>844</c:v>
                </c:pt>
                <c:pt idx="1">
                  <c:v>1014</c:v>
                </c:pt>
                <c:pt idx="2" formatCode="General">
                  <c:v>793</c:v>
                </c:pt>
                <c:pt idx="3" formatCode="General">
                  <c:v>751</c:v>
                </c:pt>
                <c:pt idx="4" formatCode="General">
                  <c:v>866</c:v>
                </c:pt>
                <c:pt idx="5">
                  <c:v>1667</c:v>
                </c:pt>
                <c:pt idx="6">
                  <c:v>2321</c:v>
                </c:pt>
                <c:pt idx="7">
                  <c:v>2969</c:v>
                </c:pt>
                <c:pt idx="8">
                  <c:v>4221</c:v>
                </c:pt>
                <c:pt idx="9">
                  <c:v>4076</c:v>
                </c:pt>
                <c:pt idx="10">
                  <c:v>4123</c:v>
                </c:pt>
                <c:pt idx="11">
                  <c:v>2967</c:v>
                </c:pt>
                <c:pt idx="12">
                  <c:v>3521</c:v>
                </c:pt>
                <c:pt idx="13">
                  <c:v>3756</c:v>
                </c:pt>
                <c:pt idx="14">
                  <c:v>4014</c:v>
                </c:pt>
                <c:pt idx="15">
                  <c:v>4074</c:v>
                </c:pt>
                <c:pt idx="16">
                  <c:v>4866</c:v>
                </c:pt>
                <c:pt idx="17">
                  <c:v>2286</c:v>
                </c:pt>
                <c:pt idx="18">
                  <c:v>3140</c:v>
                </c:pt>
                <c:pt idx="19">
                  <c:v>2109</c:v>
                </c:pt>
                <c:pt idx="20">
                  <c:v>2074</c:v>
                </c:pt>
                <c:pt idx="21">
                  <c:v>1909</c:v>
                </c:pt>
                <c:pt idx="22">
                  <c:v>1802</c:v>
                </c:pt>
                <c:pt idx="23">
                  <c:v>1403</c:v>
                </c:pt>
                <c:pt idx="24">
                  <c:v>1673</c:v>
                </c:pt>
                <c:pt idx="25">
                  <c:v>1606</c:v>
                </c:pt>
                <c:pt idx="26">
                  <c:v>1577</c:v>
                </c:pt>
                <c:pt idx="27">
                  <c:v>1399</c:v>
                </c:pt>
                <c:pt idx="28" formatCode="General">
                  <c:v>970</c:v>
                </c:pt>
                <c:pt idx="29" formatCode="General">
                  <c:v>894</c:v>
                </c:pt>
                <c:pt idx="30" formatCode="General">
                  <c:v>755</c:v>
                </c:pt>
                <c:pt idx="31" formatCode="General">
                  <c:v>708</c:v>
                </c:pt>
              </c:numCache>
            </c:numRef>
          </c:val>
          <c:extLst>
            <c:ext xmlns:c16="http://schemas.microsoft.com/office/drawing/2014/chart" uri="{C3380CC4-5D6E-409C-BE32-E72D297353CC}">
              <c16:uniqueId val="{00000008-2D3B-DB44-9DB5-EE631C5BF335}"/>
            </c:ext>
          </c:extLst>
        </c:ser>
        <c:dLbls>
          <c:showLegendKey val="0"/>
          <c:showVal val="0"/>
          <c:showCatName val="0"/>
          <c:showSerName val="0"/>
          <c:showPercent val="0"/>
          <c:showBubbleSize val="0"/>
        </c:dLbls>
        <c:axId val="29804496"/>
        <c:axId val="29823216"/>
      </c:areaChart>
      <c:catAx>
        <c:axId val="298044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23216"/>
        <c:crosses val="autoZero"/>
        <c:auto val="1"/>
        <c:lblAlgn val="ctr"/>
        <c:lblOffset val="100"/>
        <c:noMultiLvlLbl val="0"/>
      </c:catAx>
      <c:valAx>
        <c:axId val="29823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0449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1" i="0" u="none" strike="noStrike" kern="1200" spc="0" baseline="0">
                <a:solidFill>
                  <a:schemeClr val="tx1">
                    <a:lumMod val="65000"/>
                    <a:lumOff val="35000"/>
                  </a:schemeClr>
                </a:solidFill>
                <a:latin typeface="+mn-lt"/>
                <a:ea typeface="+mn-ea"/>
                <a:cs typeface="+mn-cs"/>
              </a:defRPr>
            </a:pPr>
            <a:r>
              <a:rPr lang="en-US" sz="1100" b="1" dirty="0"/>
              <a:t>Headcount 2023-2024</a:t>
            </a:r>
          </a:p>
        </c:rich>
      </c:tx>
      <c:overlay val="0"/>
      <c:spPr>
        <a:noFill/>
        <a:ln>
          <a:noFill/>
        </a:ln>
        <a:effectLst/>
      </c:spPr>
      <c:txPr>
        <a:bodyPr rot="0" spcFirstLastPara="1" vertOverflow="ellipsis" vert="horz" wrap="square" anchor="ctr" anchorCtr="1"/>
        <a:lstStyle/>
        <a:p>
          <a:pPr>
            <a:defRPr sz="1862"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0628663313358115E-2"/>
          <c:y val="0.18848743118044048"/>
          <c:w val="0.44653490436872051"/>
          <c:h val="0.71218029984065878"/>
        </c:manualLayout>
      </c:layout>
      <c:pieChart>
        <c:varyColors val="1"/>
        <c:ser>
          <c:idx val="0"/>
          <c:order val="0"/>
          <c:tx>
            <c:strRef>
              <c:f>Sheet1!$B$1</c:f>
              <c:strCache>
                <c:ptCount val="1"/>
                <c:pt idx="0">
                  <c:v>Headcount 2023-2024</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6C3-4574-8B79-C8DC7DAC418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6C3-4574-8B79-C8DC7DAC418D}"/>
              </c:ext>
            </c:extLst>
          </c:dPt>
          <c:dLbls>
            <c:dLbl>
              <c:idx val="0"/>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F6C3-4574-8B79-C8DC7DAC418D}"/>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Taft College (Excluding WESTEC)</c:v>
                </c:pt>
                <c:pt idx="1">
                  <c:v>WESTEC</c:v>
                </c:pt>
              </c:strCache>
            </c:strRef>
          </c:cat>
          <c:val>
            <c:numRef>
              <c:f>Sheet1!$B$2:$B$3</c:f>
              <c:numCache>
                <c:formatCode>General</c:formatCode>
                <c:ptCount val="2"/>
                <c:pt idx="0">
                  <c:v>3414</c:v>
                </c:pt>
                <c:pt idx="1">
                  <c:v>5000</c:v>
                </c:pt>
              </c:numCache>
            </c:numRef>
          </c:val>
          <c:extLst>
            <c:ext xmlns:c16="http://schemas.microsoft.com/office/drawing/2014/chart" uri="{C3380CC4-5D6E-409C-BE32-E72D297353CC}">
              <c16:uniqueId val="{00000004-F6C3-4574-8B79-C8DC7DAC418D}"/>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1525943073796274"/>
          <c:y val="0.35384492289249347"/>
          <c:w val="0.38474056926203737"/>
          <c:h val="0.41031257399952642"/>
        </c:manualLayout>
      </c:layout>
      <c:overlay val="1"/>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dirty="0"/>
              <a:t>FTES 2023-2024</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5261982665123368E-2"/>
          <c:y val="0.18848743118044048"/>
          <c:w val="0.44190628958904865"/>
          <c:h val="0.70477860546677873"/>
        </c:manualLayout>
      </c:layout>
      <c:pieChart>
        <c:varyColors val="1"/>
        <c:ser>
          <c:idx val="0"/>
          <c:order val="0"/>
          <c:tx>
            <c:strRef>
              <c:f>Sheet1!$B$1</c:f>
              <c:strCache>
                <c:ptCount val="1"/>
                <c:pt idx="0">
                  <c:v>FTES 2023-2024</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7BB-4CBB-8732-4D7519BFBAC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7BB-4CBB-8732-4D7519BFBACD}"/>
              </c:ext>
            </c:extLst>
          </c:dPt>
          <c:dLbls>
            <c:dLbl>
              <c:idx val="0"/>
              <c:layout>
                <c:manualLayout>
                  <c:x val="-6.1511105440161862E-2"/>
                  <c:y val="0.13599036232002029"/>
                </c:manualLayout>
              </c:layout>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7BB-4CBB-8732-4D7519BFBACD}"/>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WESTEC</c:v>
                </c:pt>
                <c:pt idx="1">
                  <c:v>Taft College (Excluding WESTEC)</c:v>
                </c:pt>
              </c:strCache>
            </c:strRef>
          </c:cat>
          <c:val>
            <c:numRef>
              <c:f>Sheet1!$B$2:$B$3</c:f>
              <c:numCache>
                <c:formatCode>General</c:formatCode>
                <c:ptCount val="2"/>
                <c:pt idx="0">
                  <c:v>181</c:v>
                </c:pt>
                <c:pt idx="1">
                  <c:v>1915</c:v>
                </c:pt>
              </c:numCache>
            </c:numRef>
          </c:val>
          <c:extLst>
            <c:ext xmlns:c16="http://schemas.microsoft.com/office/drawing/2014/chart" uri="{C3380CC4-5D6E-409C-BE32-E72D297353CC}">
              <c16:uniqueId val="{00000004-17BB-4CBB-8732-4D7519BFBACD}"/>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1525943073796274"/>
          <c:y val="0.35384492289249347"/>
          <c:w val="0.38474056926203737"/>
          <c:h val="0.41031257399952642"/>
        </c:manualLayout>
      </c:layout>
      <c:overlay val="1"/>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dirty="0"/>
              <a:t>FTES 2023-2024</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5261982665123368E-2"/>
          <c:y val="0.18848743118044048"/>
          <c:w val="0.44190628958904865"/>
          <c:h val="0.70477860546677873"/>
        </c:manualLayout>
      </c:layout>
      <c:pieChart>
        <c:varyColors val="1"/>
        <c:ser>
          <c:idx val="0"/>
          <c:order val="0"/>
          <c:tx>
            <c:strRef>
              <c:f>Sheet1!$B$1</c:f>
              <c:strCache>
                <c:ptCount val="1"/>
                <c:pt idx="0">
                  <c:v>FTES 2023-2024</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078-A04F-BE6C-51532136145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078-A04F-BE6C-51532136145D}"/>
              </c:ext>
            </c:extLst>
          </c:dPt>
          <c:dLbls>
            <c:dLbl>
              <c:idx val="0"/>
              <c:layout>
                <c:manualLayout>
                  <c:x val="-6.1511105440161862E-2"/>
                  <c:y val="0.13599036232002029"/>
                </c:manualLayout>
              </c:layout>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078-A04F-BE6C-51532136145D}"/>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Westec</c:v>
                </c:pt>
                <c:pt idx="1">
                  <c:v>Taft campus</c:v>
                </c:pt>
              </c:strCache>
            </c:strRef>
          </c:cat>
          <c:val>
            <c:numRef>
              <c:f>Sheet1!$B$2:$B$3</c:f>
              <c:numCache>
                <c:formatCode>General</c:formatCode>
                <c:ptCount val="2"/>
                <c:pt idx="0">
                  <c:v>181</c:v>
                </c:pt>
                <c:pt idx="1">
                  <c:v>1915</c:v>
                </c:pt>
              </c:numCache>
            </c:numRef>
          </c:val>
          <c:extLst>
            <c:ext xmlns:c16="http://schemas.microsoft.com/office/drawing/2014/chart" uri="{C3380CC4-5D6E-409C-BE32-E72D297353CC}">
              <c16:uniqueId val="{00000004-6078-A04F-BE6C-51532136145D}"/>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1525943073796274"/>
          <c:y val="0.35384492289249347"/>
          <c:w val="0.38474056926203737"/>
          <c:h val="0.41031257399952642"/>
        </c:manualLayout>
      </c:layout>
      <c:overlay val="1"/>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Completed</a:t>
            </a:r>
            <a:r>
              <a:rPr lang="en-US" b="1" baseline="0">
                <a:solidFill>
                  <a:sysClr val="windowText" lastClr="000000"/>
                </a:solidFill>
              </a:rPr>
              <a:t> Transfer Level English/Math in Year 1, 2022-2023</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'2 - 6 DegreeTransfer'!$K$161</c:f>
              <c:strCache>
                <c:ptCount val="1"/>
                <c:pt idx="0">
                  <c:v>English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'2 - 6 DegreeTransfer'!$J$162:$J$164</c:f>
              <c:strCache>
                <c:ptCount val="3"/>
                <c:pt idx="0">
                  <c:v>Taft College</c:v>
                </c:pt>
                <c:pt idx="1">
                  <c:v>Regional CCCs</c:v>
                </c:pt>
                <c:pt idx="2">
                  <c:v>All CCCs</c:v>
                </c:pt>
              </c:strCache>
              <c:extLst/>
            </c:strRef>
          </c:cat>
          <c:val>
            <c:numRef>
              <c:f>'2 - 6 DegreeTransfer'!$K$162:$K$164</c:f>
              <c:numCache>
                <c:formatCode>0%</c:formatCode>
                <c:ptCount val="3"/>
                <c:pt idx="0">
                  <c:v>0.31</c:v>
                </c:pt>
                <c:pt idx="1">
                  <c:v>0.31</c:v>
                </c:pt>
                <c:pt idx="2">
                  <c:v>0.39</c:v>
                </c:pt>
              </c:numCache>
            </c:numRef>
          </c:val>
          <c:extLst>
            <c:ext xmlns:c16="http://schemas.microsoft.com/office/drawing/2014/chart" uri="{C3380CC4-5D6E-409C-BE32-E72D297353CC}">
              <c16:uniqueId val="{00000000-EAAB-BE40-A75A-CBAF6FA76CB3}"/>
            </c:ext>
          </c:extLst>
        </c:ser>
        <c:ser>
          <c:idx val="1"/>
          <c:order val="1"/>
          <c:tx>
            <c:strRef>
              <c:f>'2 - 6 DegreeTransfer'!$L$161</c:f>
              <c:strCache>
                <c:ptCount val="1"/>
                <c:pt idx="0">
                  <c:v>Math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'2 - 6 DegreeTransfer'!$J$162:$J$164</c:f>
              <c:strCache>
                <c:ptCount val="3"/>
                <c:pt idx="0">
                  <c:v>Taft College</c:v>
                </c:pt>
                <c:pt idx="1">
                  <c:v>Regional CCCs</c:v>
                </c:pt>
                <c:pt idx="2">
                  <c:v>All CCCs</c:v>
                </c:pt>
              </c:strCache>
              <c:extLst/>
            </c:strRef>
          </c:cat>
          <c:val>
            <c:numRef>
              <c:f>'2 - 6 DegreeTransfer'!$L$162:$L$164</c:f>
              <c:numCache>
                <c:formatCode>0%</c:formatCode>
                <c:ptCount val="3"/>
                <c:pt idx="0">
                  <c:v>0.28999999999999998</c:v>
                </c:pt>
                <c:pt idx="1">
                  <c:v>0.23</c:v>
                </c:pt>
                <c:pt idx="2">
                  <c:v>0.24</c:v>
                </c:pt>
              </c:numCache>
            </c:numRef>
          </c:val>
          <c:extLst>
            <c:ext xmlns:c16="http://schemas.microsoft.com/office/drawing/2014/chart" uri="{C3380CC4-5D6E-409C-BE32-E72D297353CC}">
              <c16:uniqueId val="{00000001-EAAB-BE40-A75A-CBAF6FA76CB3}"/>
            </c:ext>
          </c:extLst>
        </c:ser>
        <c:ser>
          <c:idx val="2"/>
          <c:order val="2"/>
          <c:tx>
            <c:strRef>
              <c:f>'2 - 6 DegreeTransfer'!$M$161</c:f>
              <c:strCache>
                <c:ptCount val="1"/>
                <c:pt idx="0">
                  <c:v>Both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'2 - 6 DegreeTransfer'!$J$162:$J$164</c:f>
              <c:strCache>
                <c:ptCount val="3"/>
                <c:pt idx="0">
                  <c:v>Taft College</c:v>
                </c:pt>
                <c:pt idx="1">
                  <c:v>Regional CCCs</c:v>
                </c:pt>
                <c:pt idx="2">
                  <c:v>All CCCs</c:v>
                </c:pt>
              </c:strCache>
              <c:extLst/>
            </c:strRef>
          </c:cat>
          <c:val>
            <c:numRef>
              <c:f>'2 - 6 DegreeTransfer'!$M$162:$M$164</c:f>
              <c:numCache>
                <c:formatCode>0%</c:formatCode>
                <c:ptCount val="3"/>
                <c:pt idx="1">
                  <c:v>0.14000000000000001</c:v>
                </c:pt>
                <c:pt idx="2">
                  <c:v>0.18</c:v>
                </c:pt>
              </c:numCache>
            </c:numRef>
          </c:val>
          <c:extLst>
            <c:ext xmlns:c16="http://schemas.microsoft.com/office/drawing/2014/chart" uri="{C3380CC4-5D6E-409C-BE32-E72D297353CC}">
              <c16:uniqueId val="{00000002-EAAB-BE40-A75A-CBAF6FA76CB3}"/>
            </c:ext>
          </c:extLst>
        </c:ser>
        <c:dLbls>
          <c:dLblPos val="outEnd"/>
          <c:showLegendKey val="0"/>
          <c:showVal val="1"/>
          <c:showCatName val="0"/>
          <c:showSerName val="0"/>
          <c:showPercent val="0"/>
          <c:showBubbleSize val="0"/>
        </c:dLbls>
        <c:gapWidth val="219"/>
        <c:overlap val="-27"/>
        <c:axId val="632413584"/>
        <c:axId val="632410224"/>
      </c:barChart>
      <c:catAx>
        <c:axId val="63241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410224"/>
        <c:crosses val="autoZero"/>
        <c:auto val="1"/>
        <c:lblAlgn val="ctr"/>
        <c:lblOffset val="100"/>
        <c:noMultiLvlLbl val="0"/>
      </c:catAx>
      <c:valAx>
        <c:axId val="632410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413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Fall</a:t>
            </a:r>
            <a:r>
              <a:rPr lang="en-US" b="1" baseline="0">
                <a:solidFill>
                  <a:sysClr val="windowText" lastClr="000000"/>
                </a:solidFill>
              </a:rPr>
              <a:t> to Spring Persistence Rates, 2022-2023</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'7 - 14 DegreeTransfer'!$K$35</c:f>
              <c:strCache>
                <c:ptCount val="1"/>
                <c:pt idx="0">
                  <c:v>At Same CC (Taft)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'7 - 14 DegreeTransfer'!$J$36:$J$38</c:f>
              <c:strCache>
                <c:ptCount val="3"/>
                <c:pt idx="0">
                  <c:v>Taft College</c:v>
                </c:pt>
                <c:pt idx="1">
                  <c:v>Regional CCCs</c:v>
                </c:pt>
                <c:pt idx="2">
                  <c:v>All CCCs</c:v>
                </c:pt>
              </c:strCache>
              <c:extLst/>
            </c:strRef>
          </c:cat>
          <c:val>
            <c:numRef>
              <c:f>'7 - 14 DegreeTransfer'!$K$36:$K$38</c:f>
              <c:numCache>
                <c:formatCode>0%</c:formatCode>
                <c:ptCount val="3"/>
                <c:pt idx="0">
                  <c:v>0.56000000000000005</c:v>
                </c:pt>
                <c:pt idx="1">
                  <c:v>0.7</c:v>
                </c:pt>
                <c:pt idx="2">
                  <c:v>0.71</c:v>
                </c:pt>
              </c:numCache>
            </c:numRef>
          </c:val>
          <c:extLst>
            <c:ext xmlns:c16="http://schemas.microsoft.com/office/drawing/2014/chart" uri="{C3380CC4-5D6E-409C-BE32-E72D297353CC}">
              <c16:uniqueId val="{00000000-292D-A547-A788-B04335C1D4A7}"/>
            </c:ext>
          </c:extLst>
        </c:ser>
        <c:ser>
          <c:idx val="1"/>
          <c:order val="1"/>
          <c:tx>
            <c:strRef>
              <c:f>'7 - 14 DegreeTransfer'!$L$35</c:f>
              <c:strCache>
                <c:ptCount val="1"/>
                <c:pt idx="0">
                  <c:v>At Any CCC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'7 - 14 DegreeTransfer'!$J$36:$J$38</c:f>
              <c:strCache>
                <c:ptCount val="3"/>
                <c:pt idx="0">
                  <c:v>Taft College</c:v>
                </c:pt>
                <c:pt idx="1">
                  <c:v>Regional CCCs</c:v>
                </c:pt>
                <c:pt idx="2">
                  <c:v>All CCCs</c:v>
                </c:pt>
              </c:strCache>
              <c:extLst/>
            </c:strRef>
          </c:cat>
          <c:val>
            <c:numRef>
              <c:f>'7 - 14 DegreeTransfer'!$L$36:$L$38</c:f>
              <c:numCache>
                <c:formatCode>0%</c:formatCode>
                <c:ptCount val="3"/>
                <c:pt idx="0">
                  <c:v>0.59</c:v>
                </c:pt>
                <c:pt idx="1">
                  <c:v>0.72</c:v>
                </c:pt>
                <c:pt idx="2">
                  <c:v>0.74</c:v>
                </c:pt>
              </c:numCache>
            </c:numRef>
          </c:val>
          <c:extLst>
            <c:ext xmlns:c16="http://schemas.microsoft.com/office/drawing/2014/chart" uri="{C3380CC4-5D6E-409C-BE32-E72D297353CC}">
              <c16:uniqueId val="{00000001-292D-A547-A788-B04335C1D4A7}"/>
            </c:ext>
          </c:extLst>
        </c:ser>
        <c:dLbls>
          <c:dLblPos val="outEnd"/>
          <c:showLegendKey val="0"/>
          <c:showVal val="1"/>
          <c:showCatName val="0"/>
          <c:showSerName val="0"/>
          <c:showPercent val="0"/>
          <c:showBubbleSize val="0"/>
        </c:dLbls>
        <c:gapWidth val="219"/>
        <c:overlap val="-27"/>
        <c:axId val="241583055"/>
        <c:axId val="241584015"/>
      </c:barChart>
      <c:catAx>
        <c:axId val="241583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584015"/>
        <c:crosses val="autoZero"/>
        <c:auto val="1"/>
        <c:lblAlgn val="ctr"/>
        <c:lblOffset val="100"/>
        <c:noMultiLvlLbl val="0"/>
      </c:catAx>
      <c:valAx>
        <c:axId val="2415840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583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Completion</a:t>
            </a:r>
            <a:r>
              <a:rPr lang="en-US" b="1" baseline="0">
                <a:solidFill>
                  <a:sysClr val="windowText" lastClr="000000"/>
                </a:solidFill>
              </a:rPr>
              <a:t> Rates, 2022-2023</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'7 - 14 DegreeTransfer'!$K$93</c:f>
              <c:strCache>
                <c:ptCount val="1"/>
                <c:pt idx="0">
                  <c:v>Vision Goal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'7 - 14 DegreeTransfer'!$J$94:$J$96</c:f>
              <c:strCache>
                <c:ptCount val="3"/>
                <c:pt idx="0">
                  <c:v>Taft College</c:v>
                </c:pt>
                <c:pt idx="1">
                  <c:v>Regional CCCs</c:v>
                </c:pt>
                <c:pt idx="2">
                  <c:v>All CCCs</c:v>
                </c:pt>
              </c:strCache>
            </c:strRef>
          </c:cat>
          <c:val>
            <c:numRef>
              <c:f>'7 - 14 DegreeTransfer'!$K$94:$K$96</c:f>
              <c:numCache>
                <c:formatCode>0%</c:formatCode>
                <c:ptCount val="3"/>
                <c:pt idx="0">
                  <c:v>0.2</c:v>
                </c:pt>
                <c:pt idx="1">
                  <c:v>0.13</c:v>
                </c:pt>
                <c:pt idx="2">
                  <c:v>0.12</c:v>
                </c:pt>
              </c:numCache>
            </c:numRef>
          </c:val>
          <c:extLst>
            <c:ext xmlns:c16="http://schemas.microsoft.com/office/drawing/2014/chart" uri="{C3380CC4-5D6E-409C-BE32-E72D297353CC}">
              <c16:uniqueId val="{00000000-94E5-EA40-8CBB-1647EAA822AE}"/>
            </c:ext>
          </c:extLst>
        </c:ser>
        <c:ser>
          <c:idx val="1"/>
          <c:order val="1"/>
          <c:tx>
            <c:strRef>
              <c:f>'7 - 14 DegreeTransfer'!$L$93</c:f>
              <c:strCache>
                <c:ptCount val="1"/>
                <c:pt idx="0">
                  <c:v>Degree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'7 - 14 DegreeTransfer'!$J$94:$J$96</c:f>
              <c:strCache>
                <c:ptCount val="3"/>
                <c:pt idx="0">
                  <c:v>Taft College</c:v>
                </c:pt>
                <c:pt idx="1">
                  <c:v>Regional CCCs</c:v>
                </c:pt>
                <c:pt idx="2">
                  <c:v>All CCCs</c:v>
                </c:pt>
              </c:strCache>
            </c:strRef>
          </c:cat>
          <c:val>
            <c:numRef>
              <c:f>'7 - 14 DegreeTransfer'!$L$94:$L$96</c:f>
              <c:numCache>
                <c:formatCode>0%</c:formatCode>
                <c:ptCount val="3"/>
                <c:pt idx="0">
                  <c:v>0.2</c:v>
                </c:pt>
                <c:pt idx="1">
                  <c:v>0.11</c:v>
                </c:pt>
                <c:pt idx="2">
                  <c:v>0.1</c:v>
                </c:pt>
              </c:numCache>
            </c:numRef>
          </c:val>
          <c:extLst>
            <c:ext xmlns:c16="http://schemas.microsoft.com/office/drawing/2014/chart" uri="{C3380CC4-5D6E-409C-BE32-E72D297353CC}">
              <c16:uniqueId val="{00000001-94E5-EA40-8CBB-1647EAA822AE}"/>
            </c:ext>
          </c:extLst>
        </c:ser>
        <c:ser>
          <c:idx val="2"/>
          <c:order val="2"/>
          <c:tx>
            <c:strRef>
              <c:f>'7 - 14 DegreeTransfer'!$M$93</c:f>
              <c:strCache>
                <c:ptCount val="1"/>
                <c:pt idx="0">
                  <c:v>Certificate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'7 - 14 DegreeTransfer'!$J$94:$J$96</c:f>
              <c:strCache>
                <c:ptCount val="3"/>
                <c:pt idx="0">
                  <c:v>Taft College</c:v>
                </c:pt>
                <c:pt idx="1">
                  <c:v>Regional CCCs</c:v>
                </c:pt>
                <c:pt idx="2">
                  <c:v>All CCCs</c:v>
                </c:pt>
              </c:strCache>
            </c:strRef>
          </c:cat>
          <c:val>
            <c:numRef>
              <c:f>'7 - 14 DegreeTransfer'!$M$94:$M$96</c:f>
              <c:numCache>
                <c:formatCode>0%</c:formatCode>
                <c:ptCount val="3"/>
                <c:pt idx="0">
                  <c:v>7.0000000000000007E-2</c:v>
                </c:pt>
                <c:pt idx="1">
                  <c:v>7.0000000000000007E-2</c:v>
                </c:pt>
                <c:pt idx="2">
                  <c:v>0.06</c:v>
                </c:pt>
              </c:numCache>
            </c:numRef>
          </c:val>
          <c:extLst>
            <c:ext xmlns:c16="http://schemas.microsoft.com/office/drawing/2014/chart" uri="{C3380CC4-5D6E-409C-BE32-E72D297353CC}">
              <c16:uniqueId val="{00000002-94E5-EA40-8CBB-1647EAA822AE}"/>
            </c:ext>
          </c:extLst>
        </c:ser>
        <c:dLbls>
          <c:dLblPos val="outEnd"/>
          <c:showLegendKey val="0"/>
          <c:showVal val="1"/>
          <c:showCatName val="0"/>
          <c:showSerName val="0"/>
          <c:showPercent val="0"/>
          <c:showBubbleSize val="0"/>
        </c:dLbls>
        <c:gapWidth val="219"/>
        <c:overlap val="-27"/>
        <c:axId val="237702367"/>
        <c:axId val="237695167"/>
      </c:barChart>
      <c:catAx>
        <c:axId val="237702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695167"/>
        <c:crosses val="autoZero"/>
        <c:auto val="1"/>
        <c:lblAlgn val="ctr"/>
        <c:lblOffset val="100"/>
        <c:noMultiLvlLbl val="0"/>
      </c:catAx>
      <c:valAx>
        <c:axId val="2376951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702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D79E14-5B58-9F4A-868F-90430C8E7679}" type="doc">
      <dgm:prSet loTypeId="urn:microsoft.com/office/officeart/2005/8/layout/matrix1" loCatId="" qsTypeId="urn:microsoft.com/office/officeart/2005/8/quickstyle/simple1" qsCatId="simple" csTypeId="urn:microsoft.com/office/officeart/2005/8/colors/accent1_2" csCatId="accent1" phldr="1"/>
      <dgm:spPr/>
      <dgm:t>
        <a:bodyPr/>
        <a:lstStyle/>
        <a:p>
          <a:endParaRPr lang="en-US"/>
        </a:p>
      </dgm:t>
    </dgm:pt>
    <dgm:pt modelId="{3BF3A9A9-0E45-A644-9025-9DC398996732}">
      <dgm:prSet phldrT="[Text]" custT="1"/>
      <dgm:spPr>
        <a:xfrm>
          <a:off x="1694878" y="562978"/>
          <a:ext cx="1452753" cy="239998"/>
        </a:xfrm>
        <a:prstGeom prst="roundRect">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b="1">
              <a:solidFill>
                <a:sysClr val="windowText" lastClr="000000">
                  <a:hueOff val="0"/>
                  <a:satOff val="0"/>
                  <a:lumOff val="0"/>
                  <a:alphaOff val="0"/>
                </a:sysClr>
              </a:solidFill>
              <a:latin typeface="Calibri" panose="020F0502020204030204"/>
              <a:ea typeface="+mn-ea"/>
              <a:cs typeface="+mn-cs"/>
            </a:rPr>
            <a:t>Discovery Phase </a:t>
          </a:r>
          <a:br>
            <a:rPr lang="en-US" sz="900" b="1">
              <a:solidFill>
                <a:sysClr val="windowText" lastClr="000000">
                  <a:hueOff val="0"/>
                  <a:satOff val="0"/>
                  <a:lumOff val="0"/>
                  <a:alphaOff val="0"/>
                </a:sysClr>
              </a:solidFill>
              <a:latin typeface="Calibri" panose="020F0502020204030204"/>
              <a:ea typeface="+mn-ea"/>
              <a:cs typeface="+mn-cs"/>
            </a:rPr>
          </a:br>
          <a:r>
            <a:rPr lang="en-US" sz="900" b="1">
              <a:solidFill>
                <a:sysClr val="windowText" lastClr="000000">
                  <a:hueOff val="0"/>
                  <a:satOff val="0"/>
                  <a:lumOff val="0"/>
                  <a:alphaOff val="0"/>
                </a:sysClr>
              </a:solidFill>
              <a:latin typeface="Calibri" panose="020F0502020204030204"/>
              <a:ea typeface="+mn-ea"/>
              <a:cs typeface="+mn-cs"/>
            </a:rPr>
            <a:t>4 Data Sources</a:t>
          </a:r>
        </a:p>
      </dgm:t>
    </dgm:pt>
    <dgm:pt modelId="{E7DABC29-D024-7444-B107-90DF0D790228}" type="parTrans" cxnId="{AB0E6072-CE44-CA43-A7A6-F5595A469F44}">
      <dgm:prSet/>
      <dgm:spPr/>
      <dgm:t>
        <a:bodyPr/>
        <a:lstStyle/>
        <a:p>
          <a:endParaRPr lang="en-US"/>
        </a:p>
      </dgm:t>
    </dgm:pt>
    <dgm:pt modelId="{1171243F-74D8-9646-A10B-D02325E6464F}" type="sibTrans" cxnId="{AB0E6072-CE44-CA43-A7A6-F5595A469F44}">
      <dgm:prSet/>
      <dgm:spPr/>
      <dgm:t>
        <a:bodyPr/>
        <a:lstStyle/>
        <a:p>
          <a:endParaRPr lang="en-US"/>
        </a:p>
      </dgm:t>
    </dgm:pt>
    <dgm:pt modelId="{73AECBF2-BE90-F948-BEAA-A49A2C432A57}">
      <dgm:prSet phldrT="[Text]" custT="1"/>
      <dgm:spPr>
        <a:xfrm rot="16200000">
          <a:off x="869138" y="-869138"/>
          <a:ext cx="682978" cy="2421254"/>
        </a:xfrm>
        <a:prstGeom prst="round1Rect">
          <a:avLst/>
        </a:prstGeom>
        <a:solidFill>
          <a:srgbClr val="4472C4">
            <a:lumMod val="20000"/>
            <a:lumOff val="80000"/>
          </a:srgbClr>
        </a:solidFill>
        <a:ln w="12700" cap="flat" cmpd="sng" algn="ctr">
          <a:solidFill>
            <a:srgbClr val="002060"/>
          </a:solidFill>
          <a:prstDash val="solid"/>
          <a:miter lim="800000"/>
        </a:ln>
        <a:effectLst/>
      </dgm:spPr>
      <dgm:t>
        <a:bodyPr/>
        <a:lstStyle/>
        <a:p>
          <a:pPr>
            <a:buNone/>
          </a:pPr>
          <a:endParaRPr lang="en-US" sz="600">
            <a:solidFill>
              <a:sysClr val="window" lastClr="FFFFFF"/>
            </a:solidFill>
            <a:latin typeface="Calibri" panose="020F0502020204030204"/>
            <a:ea typeface="+mn-ea"/>
            <a:cs typeface="+mn-cs"/>
          </a:endParaRPr>
        </a:p>
        <a:p>
          <a:pPr>
            <a:buNone/>
          </a:pPr>
          <a:r>
            <a:rPr lang="en-US" sz="900">
              <a:solidFill>
                <a:sysClr val="windowText" lastClr="000000"/>
              </a:solidFill>
              <a:latin typeface="Calibri" panose="020F0502020204030204"/>
              <a:ea typeface="+mn-ea"/>
              <a:cs typeface="+mn-cs"/>
            </a:rPr>
            <a:t>INTERNAL QUANTITATIVE DATA</a:t>
          </a:r>
          <a:br>
            <a:rPr lang="en-US" sz="900">
              <a:solidFill>
                <a:sysClr val="windowText" lastClr="000000"/>
              </a:solidFill>
              <a:latin typeface="Calibri" panose="020F0502020204030204"/>
              <a:ea typeface="+mn-ea"/>
              <a:cs typeface="+mn-cs"/>
            </a:rPr>
          </a:br>
          <a:r>
            <a:rPr lang="en-US" sz="800">
              <a:solidFill>
                <a:sysClr val="windowText" lastClr="000000"/>
              </a:solidFill>
              <a:latin typeface="Calibri" panose="020F0502020204030204"/>
              <a:ea typeface="+mn-ea"/>
              <a:cs typeface="+mn-cs"/>
            </a:rPr>
            <a:t>Environmental scan; data on students, enrollments, student access and success, staff, programs, services, and measures of effectiveness and efficiency.</a:t>
          </a:r>
          <a:endParaRPr lang="en-US" sz="600">
            <a:solidFill>
              <a:sysClr val="windowText" lastClr="000000"/>
            </a:solidFill>
            <a:latin typeface="Calibri" panose="020F0502020204030204"/>
            <a:ea typeface="+mn-ea"/>
            <a:cs typeface="+mn-cs"/>
          </a:endParaRPr>
        </a:p>
      </dgm:t>
    </dgm:pt>
    <dgm:pt modelId="{5F258834-EDB0-3E49-B05E-BAAAFEB6C078}" type="parTrans" cxnId="{6B903843-6C21-AA4C-9C00-0D379EFE38B7}">
      <dgm:prSet/>
      <dgm:spPr/>
      <dgm:t>
        <a:bodyPr/>
        <a:lstStyle/>
        <a:p>
          <a:endParaRPr lang="en-US"/>
        </a:p>
      </dgm:t>
    </dgm:pt>
    <dgm:pt modelId="{6060C032-0583-2B4A-96C8-A2A11E470A23}" type="sibTrans" cxnId="{6B903843-6C21-AA4C-9C00-0D379EFE38B7}">
      <dgm:prSet/>
      <dgm:spPr/>
      <dgm:t>
        <a:bodyPr/>
        <a:lstStyle/>
        <a:p>
          <a:endParaRPr lang="en-US"/>
        </a:p>
      </dgm:t>
    </dgm:pt>
    <dgm:pt modelId="{01AF2547-4351-DB48-B996-35C50A268780}">
      <dgm:prSet phldrT="[Text]" custT="1"/>
      <dgm:spPr>
        <a:xfrm>
          <a:off x="2421254" y="0"/>
          <a:ext cx="2421254" cy="682978"/>
        </a:xfrm>
        <a:prstGeom prst="round1Rect">
          <a:avLst/>
        </a:prstGeom>
        <a:solidFill>
          <a:srgbClr val="4472C4">
            <a:lumMod val="20000"/>
            <a:lumOff val="80000"/>
          </a:srgbClr>
        </a:solidFill>
        <a:ln w="12700" cap="flat" cmpd="sng" algn="ctr">
          <a:solidFill>
            <a:srgbClr val="002060"/>
          </a:solidFill>
          <a:prstDash val="solid"/>
          <a:miter lim="800000"/>
        </a:ln>
        <a:effectLst/>
      </dgm:spPr>
      <dgm:t>
        <a:bodyPr/>
        <a:lstStyle/>
        <a:p>
          <a:pPr>
            <a:buNone/>
          </a:pPr>
          <a:endParaRPr lang="en-US" sz="600">
            <a:solidFill>
              <a:sysClr val="window" lastClr="FFFFFF"/>
            </a:solidFill>
            <a:latin typeface="Calibri" panose="020F0502020204030204"/>
            <a:ea typeface="+mn-ea"/>
            <a:cs typeface="+mn-cs"/>
          </a:endParaRPr>
        </a:p>
        <a:p>
          <a:pPr>
            <a:buNone/>
          </a:pPr>
          <a:r>
            <a:rPr lang="en-US" sz="900">
              <a:solidFill>
                <a:sysClr val="windowText" lastClr="000000"/>
              </a:solidFill>
              <a:latin typeface="Calibri" panose="020F0502020204030204"/>
              <a:ea typeface="+mn-ea"/>
              <a:cs typeface="+mn-cs"/>
            </a:rPr>
            <a:t>EXTERNAL QUANTITATIVE DATA</a:t>
          </a:r>
          <a:br>
            <a:rPr lang="en-US" sz="900">
              <a:solidFill>
                <a:sysClr val="windowText" lastClr="000000"/>
              </a:solidFill>
              <a:latin typeface="Calibri" panose="020F0502020204030204"/>
              <a:ea typeface="+mn-ea"/>
              <a:cs typeface="+mn-cs"/>
            </a:rPr>
          </a:br>
          <a:r>
            <a:rPr lang="en-US" sz="800">
              <a:solidFill>
                <a:sysClr val="windowText" lastClr="000000"/>
              </a:solidFill>
              <a:latin typeface="Calibri" panose="020F0502020204030204"/>
              <a:ea typeface="+mn-ea"/>
              <a:cs typeface="+mn-cs"/>
            </a:rPr>
            <a:t>Environmental scan; national, state, and regional data; District/College service area data, including city and county demographics, the economy, and the workforce.</a:t>
          </a:r>
        </a:p>
      </dgm:t>
    </dgm:pt>
    <dgm:pt modelId="{5E9C2B15-3B7C-EE46-BFAA-254D2FD67575}" type="parTrans" cxnId="{B55A8166-4E79-B242-B5FD-1C7ECD0DAA21}">
      <dgm:prSet/>
      <dgm:spPr/>
      <dgm:t>
        <a:bodyPr/>
        <a:lstStyle/>
        <a:p>
          <a:endParaRPr lang="en-US"/>
        </a:p>
      </dgm:t>
    </dgm:pt>
    <dgm:pt modelId="{4CC2D3A9-5B85-1D4A-A8EB-B46B44CF9F2E}" type="sibTrans" cxnId="{B55A8166-4E79-B242-B5FD-1C7ECD0DAA21}">
      <dgm:prSet/>
      <dgm:spPr/>
      <dgm:t>
        <a:bodyPr/>
        <a:lstStyle/>
        <a:p>
          <a:endParaRPr lang="en-US"/>
        </a:p>
      </dgm:t>
    </dgm:pt>
    <dgm:pt modelId="{63684356-A291-094A-B907-19C889E35950}">
      <dgm:prSet phldrT="[Text]" custT="1"/>
      <dgm:spPr>
        <a:xfrm rot="10800000">
          <a:off x="0" y="682978"/>
          <a:ext cx="2421254" cy="682978"/>
        </a:xfrm>
        <a:prstGeom prst="round1Rect">
          <a:avLst/>
        </a:prstGeom>
        <a:solidFill>
          <a:srgbClr val="4472C4">
            <a:lumMod val="20000"/>
            <a:lumOff val="80000"/>
          </a:srgbClr>
        </a:solidFill>
        <a:ln w="12700" cap="flat" cmpd="sng" algn="ctr">
          <a:solidFill>
            <a:srgbClr val="002060"/>
          </a:solidFill>
          <a:prstDash val="solid"/>
          <a:miter lim="800000"/>
        </a:ln>
        <a:effectLst/>
      </dgm:spPr>
      <dgm:t>
        <a:bodyPr/>
        <a:lstStyle/>
        <a:p>
          <a:pPr>
            <a:buNone/>
          </a:pPr>
          <a:r>
            <a:rPr lang="en-US" sz="900">
              <a:solidFill>
                <a:sysClr val="windowText" lastClr="000000"/>
              </a:solidFill>
              <a:latin typeface="Calibri" panose="020F0502020204030204"/>
              <a:ea typeface="+mn-ea"/>
              <a:cs typeface="+mn-cs"/>
            </a:rPr>
            <a:t>INTERNAL QUALITATIVE DATA </a:t>
          </a:r>
          <a:br>
            <a:rPr lang="en-US" sz="900">
              <a:solidFill>
                <a:sysClr val="windowText" lastClr="000000"/>
              </a:solidFill>
              <a:latin typeface="Calibri" panose="020F0502020204030204"/>
              <a:ea typeface="+mn-ea"/>
              <a:cs typeface="+mn-cs"/>
            </a:rPr>
          </a:br>
          <a:r>
            <a:rPr lang="en-US" sz="900">
              <a:solidFill>
                <a:sysClr val="windowText" lastClr="000000"/>
              </a:solidFill>
              <a:latin typeface="Calibri" panose="020F0502020204030204"/>
              <a:ea typeface="+mn-ea"/>
              <a:cs typeface="+mn-cs"/>
            </a:rPr>
            <a:t>I</a:t>
          </a:r>
          <a:r>
            <a:rPr lang="en-US" sz="800">
              <a:solidFill>
                <a:sysClr val="windowText" lastClr="000000"/>
              </a:solidFill>
              <a:latin typeface="Calibri" panose="020F0502020204030204"/>
              <a:ea typeface="+mn-ea"/>
              <a:cs typeface="+mn-cs"/>
            </a:rPr>
            <a:t>nformation and perspectives of students and staff of the District/College regarding its future direction.</a:t>
          </a:r>
        </a:p>
        <a:p>
          <a:pPr>
            <a:buNone/>
          </a:pPr>
          <a:endParaRPr lang="en-US" sz="800">
            <a:solidFill>
              <a:sysClr val="window" lastClr="FFFFFF"/>
            </a:solidFill>
            <a:latin typeface="Calibri" panose="020F0502020204030204"/>
            <a:ea typeface="+mn-ea"/>
            <a:cs typeface="+mn-cs"/>
          </a:endParaRPr>
        </a:p>
      </dgm:t>
    </dgm:pt>
    <dgm:pt modelId="{D40D631A-B7A3-1040-82C2-D3B47C150DB5}" type="sibTrans" cxnId="{6E3E6A14-1594-F94B-96F2-A39CA430E51C}">
      <dgm:prSet/>
      <dgm:spPr/>
      <dgm:t>
        <a:bodyPr/>
        <a:lstStyle/>
        <a:p>
          <a:endParaRPr lang="en-US"/>
        </a:p>
      </dgm:t>
    </dgm:pt>
    <dgm:pt modelId="{44996C6C-B155-E148-968D-235DA23E03F3}" type="parTrans" cxnId="{6E3E6A14-1594-F94B-96F2-A39CA430E51C}">
      <dgm:prSet/>
      <dgm:spPr/>
      <dgm:t>
        <a:bodyPr/>
        <a:lstStyle/>
        <a:p>
          <a:endParaRPr lang="en-US"/>
        </a:p>
      </dgm:t>
    </dgm:pt>
    <dgm:pt modelId="{64C11F49-D278-B74A-991F-2D92CC6F387D}">
      <dgm:prSet phldrT="[Text]" custT="1"/>
      <dgm:spPr>
        <a:xfrm rot="5400000">
          <a:off x="3290393" y="-186160"/>
          <a:ext cx="682978" cy="2421254"/>
        </a:xfrm>
        <a:prstGeom prst="round1Rect">
          <a:avLst/>
        </a:prstGeom>
        <a:solidFill>
          <a:srgbClr val="4472C4">
            <a:lumMod val="20000"/>
            <a:lumOff val="80000"/>
          </a:srgbClr>
        </a:solidFill>
        <a:ln w="12700" cap="flat" cmpd="sng" algn="ctr">
          <a:solidFill>
            <a:srgbClr val="002060"/>
          </a:solidFill>
          <a:prstDash val="solid"/>
          <a:miter lim="800000"/>
        </a:ln>
        <a:effectLst/>
      </dgm:spPr>
      <dgm:t>
        <a:bodyPr/>
        <a:lstStyle/>
        <a:p>
          <a:pPr>
            <a:buNone/>
          </a:pPr>
          <a:r>
            <a:rPr lang="en-US" sz="900">
              <a:solidFill>
                <a:sysClr val="windowText" lastClr="000000"/>
              </a:solidFill>
              <a:latin typeface="Calibri" panose="020F0502020204030204"/>
              <a:ea typeface="+mn-ea"/>
              <a:cs typeface="+mn-cs"/>
            </a:rPr>
            <a:t>EXTERNAL QUALITATIVE DATA </a:t>
          </a:r>
          <a:br>
            <a:rPr lang="en-US" sz="900">
              <a:solidFill>
                <a:sysClr val="windowText" lastClr="000000"/>
              </a:solidFill>
              <a:latin typeface="Calibri" panose="020F0502020204030204"/>
              <a:ea typeface="+mn-ea"/>
              <a:cs typeface="+mn-cs"/>
            </a:rPr>
          </a:br>
          <a:r>
            <a:rPr lang="en-US" sz="900">
              <a:solidFill>
                <a:sysClr val="windowText" lastClr="000000"/>
              </a:solidFill>
              <a:latin typeface="Calibri" panose="020F0502020204030204"/>
              <a:ea typeface="+mn-ea"/>
              <a:cs typeface="+mn-cs"/>
            </a:rPr>
            <a:t>I</a:t>
          </a:r>
          <a:r>
            <a:rPr lang="en-US" sz="800">
              <a:solidFill>
                <a:sysClr val="windowText" lastClr="000000"/>
              </a:solidFill>
              <a:latin typeface="Calibri" panose="020F0502020204030204"/>
              <a:ea typeface="+mn-ea"/>
              <a:cs typeface="+mn-cs"/>
            </a:rPr>
            <a:t>nformation and perspectives from trustees and community, business, industry, and educational partners regarding the future direction of the District/College. </a:t>
          </a:r>
        </a:p>
      </dgm:t>
    </dgm:pt>
    <dgm:pt modelId="{B9A92259-0B79-9E41-A64B-69560DA1A85A}" type="sibTrans" cxnId="{40A17D2B-843B-6F45-9488-ADB91A592D8E}">
      <dgm:prSet/>
      <dgm:spPr/>
      <dgm:t>
        <a:bodyPr/>
        <a:lstStyle/>
        <a:p>
          <a:endParaRPr lang="en-US"/>
        </a:p>
      </dgm:t>
    </dgm:pt>
    <dgm:pt modelId="{82EACD74-52D5-4747-BAEA-1F36EE55503C}" type="parTrans" cxnId="{40A17D2B-843B-6F45-9488-ADB91A592D8E}">
      <dgm:prSet/>
      <dgm:spPr/>
      <dgm:t>
        <a:bodyPr/>
        <a:lstStyle/>
        <a:p>
          <a:endParaRPr lang="en-US"/>
        </a:p>
      </dgm:t>
    </dgm:pt>
    <dgm:pt modelId="{3F721792-B171-4841-9739-93C7FB7DFD93}" type="pres">
      <dgm:prSet presAssocID="{F1D79E14-5B58-9F4A-868F-90430C8E7679}" presName="diagram" presStyleCnt="0">
        <dgm:presLayoutVars>
          <dgm:chMax val="1"/>
          <dgm:dir/>
          <dgm:animLvl val="ctr"/>
          <dgm:resizeHandles val="exact"/>
        </dgm:presLayoutVars>
      </dgm:prSet>
      <dgm:spPr/>
    </dgm:pt>
    <dgm:pt modelId="{8E8C3319-651C-F542-9A4C-4C79B05DA6D7}" type="pres">
      <dgm:prSet presAssocID="{F1D79E14-5B58-9F4A-868F-90430C8E7679}" presName="matrix" presStyleCnt="0"/>
      <dgm:spPr/>
    </dgm:pt>
    <dgm:pt modelId="{9FE909D3-89CB-C245-A2D3-453D8F2C9BA6}" type="pres">
      <dgm:prSet presAssocID="{F1D79E14-5B58-9F4A-868F-90430C8E7679}" presName="tile1" presStyleLbl="node1" presStyleIdx="0" presStyleCnt="4"/>
      <dgm:spPr/>
    </dgm:pt>
    <dgm:pt modelId="{947915AF-BAC7-6344-B153-B505B1448134}" type="pres">
      <dgm:prSet presAssocID="{F1D79E14-5B58-9F4A-868F-90430C8E7679}" presName="tile1text" presStyleLbl="node1" presStyleIdx="0" presStyleCnt="4">
        <dgm:presLayoutVars>
          <dgm:chMax val="0"/>
          <dgm:chPref val="0"/>
          <dgm:bulletEnabled val="1"/>
        </dgm:presLayoutVars>
      </dgm:prSet>
      <dgm:spPr/>
    </dgm:pt>
    <dgm:pt modelId="{202AE4C3-2642-0642-9A44-C15FEF63FD36}" type="pres">
      <dgm:prSet presAssocID="{F1D79E14-5B58-9F4A-868F-90430C8E7679}" presName="tile2" presStyleLbl="node1" presStyleIdx="1" presStyleCnt="4"/>
      <dgm:spPr/>
    </dgm:pt>
    <dgm:pt modelId="{7B3B4DEA-390D-C448-96FC-418F0D7F09C3}" type="pres">
      <dgm:prSet presAssocID="{F1D79E14-5B58-9F4A-868F-90430C8E7679}" presName="tile2text" presStyleLbl="node1" presStyleIdx="1" presStyleCnt="4">
        <dgm:presLayoutVars>
          <dgm:chMax val="0"/>
          <dgm:chPref val="0"/>
          <dgm:bulletEnabled val="1"/>
        </dgm:presLayoutVars>
      </dgm:prSet>
      <dgm:spPr/>
    </dgm:pt>
    <dgm:pt modelId="{C212345D-8DB1-3B48-82F0-9C338CF32913}" type="pres">
      <dgm:prSet presAssocID="{F1D79E14-5B58-9F4A-868F-90430C8E7679}" presName="tile3" presStyleLbl="node1" presStyleIdx="2" presStyleCnt="4"/>
      <dgm:spPr/>
    </dgm:pt>
    <dgm:pt modelId="{4AA2BE2D-DD62-694F-9C65-1C3C8E929A73}" type="pres">
      <dgm:prSet presAssocID="{F1D79E14-5B58-9F4A-868F-90430C8E7679}" presName="tile3text" presStyleLbl="node1" presStyleIdx="2" presStyleCnt="4">
        <dgm:presLayoutVars>
          <dgm:chMax val="0"/>
          <dgm:chPref val="0"/>
          <dgm:bulletEnabled val="1"/>
        </dgm:presLayoutVars>
      </dgm:prSet>
      <dgm:spPr/>
    </dgm:pt>
    <dgm:pt modelId="{83706CCE-4F97-2540-B5FB-CE007CF8FC1D}" type="pres">
      <dgm:prSet presAssocID="{F1D79E14-5B58-9F4A-868F-90430C8E7679}" presName="tile4" presStyleLbl="node1" presStyleIdx="3" presStyleCnt="4"/>
      <dgm:spPr/>
    </dgm:pt>
    <dgm:pt modelId="{64BA3C77-7144-8D4D-A350-8B9EEF1BFD04}" type="pres">
      <dgm:prSet presAssocID="{F1D79E14-5B58-9F4A-868F-90430C8E7679}" presName="tile4text" presStyleLbl="node1" presStyleIdx="3" presStyleCnt="4">
        <dgm:presLayoutVars>
          <dgm:chMax val="0"/>
          <dgm:chPref val="0"/>
          <dgm:bulletEnabled val="1"/>
        </dgm:presLayoutVars>
      </dgm:prSet>
      <dgm:spPr/>
    </dgm:pt>
    <dgm:pt modelId="{4FADEDD6-5F8A-D74C-B0E6-B68653D9E5A4}" type="pres">
      <dgm:prSet presAssocID="{F1D79E14-5B58-9F4A-868F-90430C8E7679}" presName="centerTile" presStyleLbl="fgShp" presStyleIdx="0" presStyleCnt="1" custScaleY="70280">
        <dgm:presLayoutVars>
          <dgm:chMax val="0"/>
          <dgm:chPref val="0"/>
        </dgm:presLayoutVars>
      </dgm:prSet>
      <dgm:spPr/>
    </dgm:pt>
  </dgm:ptLst>
  <dgm:cxnLst>
    <dgm:cxn modelId="{4F167400-7C30-6445-8861-22317529DA15}" type="presOf" srcId="{73AECBF2-BE90-F948-BEAA-A49A2C432A57}" destId="{9FE909D3-89CB-C245-A2D3-453D8F2C9BA6}" srcOrd="0" destOrd="0" presId="urn:microsoft.com/office/officeart/2005/8/layout/matrix1"/>
    <dgm:cxn modelId="{6E3E6A14-1594-F94B-96F2-A39CA430E51C}" srcId="{3BF3A9A9-0E45-A644-9025-9DC398996732}" destId="{63684356-A291-094A-B907-19C889E35950}" srcOrd="2" destOrd="0" parTransId="{44996C6C-B155-E148-968D-235DA23E03F3}" sibTransId="{D40D631A-B7A3-1040-82C2-D3B47C150DB5}"/>
    <dgm:cxn modelId="{40A17D2B-843B-6F45-9488-ADB91A592D8E}" srcId="{3BF3A9A9-0E45-A644-9025-9DC398996732}" destId="{64C11F49-D278-B74A-991F-2D92CC6F387D}" srcOrd="3" destOrd="0" parTransId="{82EACD74-52D5-4747-BAEA-1F36EE55503C}" sibTransId="{B9A92259-0B79-9E41-A64B-69560DA1A85A}"/>
    <dgm:cxn modelId="{3E965D33-774B-304D-8ABB-9A973AAA91FF}" type="presOf" srcId="{73AECBF2-BE90-F948-BEAA-A49A2C432A57}" destId="{947915AF-BAC7-6344-B153-B505B1448134}" srcOrd="1" destOrd="0" presId="urn:microsoft.com/office/officeart/2005/8/layout/matrix1"/>
    <dgm:cxn modelId="{6B903843-6C21-AA4C-9C00-0D379EFE38B7}" srcId="{3BF3A9A9-0E45-A644-9025-9DC398996732}" destId="{73AECBF2-BE90-F948-BEAA-A49A2C432A57}" srcOrd="0" destOrd="0" parTransId="{5F258834-EDB0-3E49-B05E-BAAAFEB6C078}" sibTransId="{6060C032-0583-2B4A-96C8-A2A11E470A23}"/>
    <dgm:cxn modelId="{B55A8166-4E79-B242-B5FD-1C7ECD0DAA21}" srcId="{3BF3A9A9-0E45-A644-9025-9DC398996732}" destId="{01AF2547-4351-DB48-B996-35C50A268780}" srcOrd="1" destOrd="0" parTransId="{5E9C2B15-3B7C-EE46-BFAA-254D2FD67575}" sibTransId="{4CC2D3A9-5B85-1D4A-A8EB-B46B44CF9F2E}"/>
    <dgm:cxn modelId="{18F4ED71-F3FC-FB46-8B9A-A7C13723D33A}" type="presOf" srcId="{64C11F49-D278-B74A-991F-2D92CC6F387D}" destId="{83706CCE-4F97-2540-B5FB-CE007CF8FC1D}" srcOrd="0" destOrd="0" presId="urn:microsoft.com/office/officeart/2005/8/layout/matrix1"/>
    <dgm:cxn modelId="{4AE21C72-20BA-C240-B7EF-2166D985E6FF}" type="presOf" srcId="{63684356-A291-094A-B907-19C889E35950}" destId="{4AA2BE2D-DD62-694F-9C65-1C3C8E929A73}" srcOrd="1" destOrd="0" presId="urn:microsoft.com/office/officeart/2005/8/layout/matrix1"/>
    <dgm:cxn modelId="{AB0E6072-CE44-CA43-A7A6-F5595A469F44}" srcId="{F1D79E14-5B58-9F4A-868F-90430C8E7679}" destId="{3BF3A9A9-0E45-A644-9025-9DC398996732}" srcOrd="0" destOrd="0" parTransId="{E7DABC29-D024-7444-B107-90DF0D790228}" sibTransId="{1171243F-74D8-9646-A10B-D02325E6464F}"/>
    <dgm:cxn modelId="{0F759A58-767A-A04C-91F0-548237EB8166}" type="presOf" srcId="{63684356-A291-094A-B907-19C889E35950}" destId="{C212345D-8DB1-3B48-82F0-9C338CF32913}" srcOrd="0" destOrd="0" presId="urn:microsoft.com/office/officeart/2005/8/layout/matrix1"/>
    <dgm:cxn modelId="{2578DB87-12CC-0340-9C5E-56748069191C}" type="presOf" srcId="{3BF3A9A9-0E45-A644-9025-9DC398996732}" destId="{4FADEDD6-5F8A-D74C-B0E6-B68653D9E5A4}" srcOrd="0" destOrd="0" presId="urn:microsoft.com/office/officeart/2005/8/layout/matrix1"/>
    <dgm:cxn modelId="{54C04CAE-F461-E846-B6B4-621B87AC2261}" type="presOf" srcId="{01AF2547-4351-DB48-B996-35C50A268780}" destId="{7B3B4DEA-390D-C448-96FC-418F0D7F09C3}" srcOrd="1" destOrd="0" presId="urn:microsoft.com/office/officeart/2005/8/layout/matrix1"/>
    <dgm:cxn modelId="{05E3C6D0-015D-F447-9ABD-BE28EB6EDF3F}" type="presOf" srcId="{F1D79E14-5B58-9F4A-868F-90430C8E7679}" destId="{3F721792-B171-4841-9739-93C7FB7DFD93}" srcOrd="0" destOrd="0" presId="urn:microsoft.com/office/officeart/2005/8/layout/matrix1"/>
    <dgm:cxn modelId="{045B95E2-1FE9-DF46-8D6F-0FA6B8C5E967}" type="presOf" srcId="{01AF2547-4351-DB48-B996-35C50A268780}" destId="{202AE4C3-2642-0642-9A44-C15FEF63FD36}" srcOrd="0" destOrd="0" presId="urn:microsoft.com/office/officeart/2005/8/layout/matrix1"/>
    <dgm:cxn modelId="{822F66ED-088A-1449-BC29-DB4B15CB21E8}" type="presOf" srcId="{64C11F49-D278-B74A-991F-2D92CC6F387D}" destId="{64BA3C77-7144-8D4D-A350-8B9EEF1BFD04}" srcOrd="1" destOrd="0" presId="urn:microsoft.com/office/officeart/2005/8/layout/matrix1"/>
    <dgm:cxn modelId="{14E96792-A9CA-2A4E-98E7-59A96CC3F22F}" type="presParOf" srcId="{3F721792-B171-4841-9739-93C7FB7DFD93}" destId="{8E8C3319-651C-F542-9A4C-4C79B05DA6D7}" srcOrd="0" destOrd="0" presId="urn:microsoft.com/office/officeart/2005/8/layout/matrix1"/>
    <dgm:cxn modelId="{5C49188D-613C-F64B-8217-98CE89855490}" type="presParOf" srcId="{8E8C3319-651C-F542-9A4C-4C79B05DA6D7}" destId="{9FE909D3-89CB-C245-A2D3-453D8F2C9BA6}" srcOrd="0" destOrd="0" presId="urn:microsoft.com/office/officeart/2005/8/layout/matrix1"/>
    <dgm:cxn modelId="{A806FEC3-75BB-724F-B80D-DB0253BD6360}" type="presParOf" srcId="{8E8C3319-651C-F542-9A4C-4C79B05DA6D7}" destId="{947915AF-BAC7-6344-B153-B505B1448134}" srcOrd="1" destOrd="0" presId="urn:microsoft.com/office/officeart/2005/8/layout/matrix1"/>
    <dgm:cxn modelId="{51688942-0545-AD42-9C1C-7C1B453CFD6F}" type="presParOf" srcId="{8E8C3319-651C-F542-9A4C-4C79B05DA6D7}" destId="{202AE4C3-2642-0642-9A44-C15FEF63FD36}" srcOrd="2" destOrd="0" presId="urn:microsoft.com/office/officeart/2005/8/layout/matrix1"/>
    <dgm:cxn modelId="{3CB39865-092F-384D-8140-7299BEDB9F9E}" type="presParOf" srcId="{8E8C3319-651C-F542-9A4C-4C79B05DA6D7}" destId="{7B3B4DEA-390D-C448-96FC-418F0D7F09C3}" srcOrd="3" destOrd="0" presId="urn:microsoft.com/office/officeart/2005/8/layout/matrix1"/>
    <dgm:cxn modelId="{346B4921-A43F-E840-89B3-1218D7A91AEE}" type="presParOf" srcId="{8E8C3319-651C-F542-9A4C-4C79B05DA6D7}" destId="{C212345D-8DB1-3B48-82F0-9C338CF32913}" srcOrd="4" destOrd="0" presId="urn:microsoft.com/office/officeart/2005/8/layout/matrix1"/>
    <dgm:cxn modelId="{21B5E469-8B08-CF47-A83C-8C9B61C8DD98}" type="presParOf" srcId="{8E8C3319-651C-F542-9A4C-4C79B05DA6D7}" destId="{4AA2BE2D-DD62-694F-9C65-1C3C8E929A73}" srcOrd="5" destOrd="0" presId="urn:microsoft.com/office/officeart/2005/8/layout/matrix1"/>
    <dgm:cxn modelId="{5DB64C8C-CCC6-2F42-83FA-3EAA197D1AB8}" type="presParOf" srcId="{8E8C3319-651C-F542-9A4C-4C79B05DA6D7}" destId="{83706CCE-4F97-2540-B5FB-CE007CF8FC1D}" srcOrd="6" destOrd="0" presId="urn:microsoft.com/office/officeart/2005/8/layout/matrix1"/>
    <dgm:cxn modelId="{762AE64C-FD33-604B-9189-650A3B502D67}" type="presParOf" srcId="{8E8C3319-651C-F542-9A4C-4C79B05DA6D7}" destId="{64BA3C77-7144-8D4D-A350-8B9EEF1BFD04}" srcOrd="7" destOrd="0" presId="urn:microsoft.com/office/officeart/2005/8/layout/matrix1"/>
    <dgm:cxn modelId="{0ACE3E18-49EB-1D45-BC84-1B5B796A4B9F}" type="presParOf" srcId="{3F721792-B171-4841-9739-93C7FB7DFD93}" destId="{4FADEDD6-5F8A-D74C-B0E6-B68653D9E5A4}" srcOrd="1" destOrd="0" presId="urn:microsoft.com/office/officeart/2005/8/layout/matrix1"/>
  </dgm:cxnLst>
  <dgm:bg/>
  <dgm:whole>
    <a:ln>
      <a:solidFill>
        <a:schemeClr val="accent1">
          <a:lumMod val="50000"/>
        </a:schemeClr>
      </a:solidFill>
    </a:ln>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516E34F-3488-F446-9A77-37802617FBAC}" type="doc">
      <dgm:prSet loTypeId="urn:microsoft.com/office/officeart/2005/8/layout/cycle6" loCatId="" qsTypeId="urn:microsoft.com/office/officeart/2005/8/quickstyle/simple1" qsCatId="simple" csTypeId="urn:microsoft.com/office/officeart/2005/8/colors/accent1_2" csCatId="accent1" phldr="1"/>
      <dgm:spPr/>
      <dgm:t>
        <a:bodyPr/>
        <a:lstStyle/>
        <a:p>
          <a:endParaRPr lang="en-US"/>
        </a:p>
      </dgm:t>
    </dgm:pt>
    <dgm:pt modelId="{B56E1252-B0FE-5C48-9DF5-624AD512B45A}">
      <dgm:prSet phldrT="[Text]" custT="1"/>
      <dgm:spPr/>
      <dgm:t>
        <a:bodyPr/>
        <a:lstStyle/>
        <a:p>
          <a:pPr algn="ctr"/>
          <a:endParaRPr lang="en-US" sz="800" b="1"/>
        </a:p>
        <a:p>
          <a:pPr algn="ctr"/>
          <a:r>
            <a:rPr lang="en-US" sz="800" b="1"/>
            <a:t>ENHANCING THE STUDENT EXPERIENCE AND RESOURCES</a:t>
          </a:r>
        </a:p>
        <a:p>
          <a:pPr algn="ctr"/>
          <a:r>
            <a:rPr lang="en-US" sz="800" b="1"/>
            <a:t>Student Experience</a:t>
          </a:r>
          <a:br>
            <a:rPr lang="en-US" sz="800" b="1"/>
          </a:br>
          <a:r>
            <a:rPr lang="en-US" sz="800" b="1"/>
            <a:t>Enrollment and Retention</a:t>
          </a:r>
          <a:br>
            <a:rPr lang="en-US" sz="800" b="1"/>
          </a:br>
          <a:r>
            <a:rPr lang="en-US" sz="800" b="1"/>
            <a:t>Academic Counseling</a:t>
          </a:r>
          <a:br>
            <a:rPr lang="en-US" sz="800" b="1"/>
          </a:br>
          <a:r>
            <a:rPr lang="en-US" sz="800" b="1"/>
            <a:t>Student Engagement</a:t>
          </a:r>
          <a:br>
            <a:rPr lang="en-US" sz="800" b="1"/>
          </a:br>
          <a:r>
            <a:rPr lang="en-US" sz="800" b="1"/>
            <a:t>Student Resources</a:t>
          </a:r>
        </a:p>
        <a:p>
          <a:pPr algn="ctr"/>
          <a:endParaRPr lang="en-US" sz="800" b="1"/>
        </a:p>
      </dgm:t>
    </dgm:pt>
    <dgm:pt modelId="{B5CC697F-3CA5-A540-88A9-BFE35B633A93}" type="parTrans" cxnId="{6DFBC6DC-1E1B-2140-AAEE-B5076211788A}">
      <dgm:prSet/>
      <dgm:spPr/>
      <dgm:t>
        <a:bodyPr/>
        <a:lstStyle/>
        <a:p>
          <a:endParaRPr lang="en-US" sz="800"/>
        </a:p>
      </dgm:t>
    </dgm:pt>
    <dgm:pt modelId="{372FF1F1-5AF2-6643-A17B-2D9B71C81157}" type="sibTrans" cxnId="{6DFBC6DC-1E1B-2140-AAEE-B5076211788A}">
      <dgm:prSet/>
      <dgm:spPr/>
      <dgm:t>
        <a:bodyPr/>
        <a:lstStyle/>
        <a:p>
          <a:endParaRPr lang="en-US" sz="800"/>
        </a:p>
      </dgm:t>
    </dgm:pt>
    <dgm:pt modelId="{891E177E-4EE5-5144-AD17-544D423B8710}">
      <dgm:prSet phldrT="[Text]" custT="1"/>
      <dgm:spPr/>
      <dgm:t>
        <a:bodyPr/>
        <a:lstStyle/>
        <a:p>
          <a:r>
            <a:rPr lang="en-US" sz="800" b="1"/>
            <a:t>EDUCATIONAL PROGRAMS AND SUPPORT</a:t>
          </a:r>
        </a:p>
        <a:p>
          <a:r>
            <a:rPr lang="en-US" sz="800" b="1"/>
            <a:t>Scheduling</a:t>
          </a:r>
          <a:br>
            <a:rPr lang="en-US" sz="800" b="1"/>
          </a:br>
          <a:r>
            <a:rPr lang="en-US" sz="800" b="1"/>
            <a:t>Career/Guided Pathways</a:t>
          </a:r>
          <a:br>
            <a:rPr lang="en-US" sz="800" b="1"/>
          </a:br>
          <a:r>
            <a:rPr lang="en-US" sz="800" b="1"/>
            <a:t>Educational Offerings</a:t>
          </a:r>
          <a:br>
            <a:rPr lang="en-US" sz="800" b="1"/>
          </a:br>
          <a:r>
            <a:rPr lang="en-US" sz="800" b="1"/>
            <a:t>Program Review and Opportunities</a:t>
          </a:r>
          <a:br>
            <a:rPr lang="en-US" sz="800" b="1"/>
          </a:br>
          <a:r>
            <a:rPr lang="en-US" sz="800" b="1"/>
            <a:t>Online Learning</a:t>
          </a:r>
          <a:br>
            <a:rPr lang="en-US" sz="800" b="1"/>
          </a:br>
          <a:r>
            <a:rPr lang="en-US" sz="800" b="1"/>
            <a:t>Student Support</a:t>
          </a:r>
        </a:p>
      </dgm:t>
    </dgm:pt>
    <dgm:pt modelId="{68D2DA85-F207-214A-B7B7-CD1CB395B76D}" type="parTrans" cxnId="{CAABF4FD-7DA7-8348-9743-53DCF1E634C2}">
      <dgm:prSet/>
      <dgm:spPr/>
      <dgm:t>
        <a:bodyPr/>
        <a:lstStyle/>
        <a:p>
          <a:endParaRPr lang="en-US" sz="800"/>
        </a:p>
      </dgm:t>
    </dgm:pt>
    <dgm:pt modelId="{28C56932-40F4-BD46-BF70-C8E64F180642}" type="sibTrans" cxnId="{CAABF4FD-7DA7-8348-9743-53DCF1E634C2}">
      <dgm:prSet/>
      <dgm:spPr/>
      <dgm:t>
        <a:bodyPr/>
        <a:lstStyle/>
        <a:p>
          <a:endParaRPr lang="en-US" sz="800"/>
        </a:p>
      </dgm:t>
    </dgm:pt>
    <dgm:pt modelId="{4EEFB661-A778-7447-AAB1-6C6F3DFDC5B2}">
      <dgm:prSet phldrT="[Text]" custT="1"/>
      <dgm:spPr/>
      <dgm:t>
        <a:bodyPr/>
        <a:lstStyle/>
        <a:p>
          <a:r>
            <a:rPr lang="en-US" sz="800" b="1"/>
            <a:t>DIVERSITY, EQUITY, INCLUSION, ACCESSIBILITY (DEIA)</a:t>
          </a:r>
        </a:p>
        <a:p>
          <a:r>
            <a:rPr lang="en-US" sz="800" b="1"/>
            <a:t>Institutional Commitment</a:t>
          </a:r>
          <a:br>
            <a:rPr lang="en-US" sz="800" b="1"/>
          </a:br>
          <a:r>
            <a:rPr lang="en-US" sz="800" b="1"/>
            <a:t>Call to Action</a:t>
          </a:r>
          <a:endParaRPr lang="en-US" sz="800"/>
        </a:p>
      </dgm:t>
    </dgm:pt>
    <dgm:pt modelId="{B2176B5B-E093-2F44-BA6F-518AF8AEF719}" type="parTrans" cxnId="{332D3EE6-6AD5-B744-8798-57C7323DFC5E}">
      <dgm:prSet/>
      <dgm:spPr/>
      <dgm:t>
        <a:bodyPr/>
        <a:lstStyle/>
        <a:p>
          <a:endParaRPr lang="en-US" sz="800"/>
        </a:p>
      </dgm:t>
    </dgm:pt>
    <dgm:pt modelId="{84B74F68-BDEE-6C4D-BD9F-1191B5FF2088}" type="sibTrans" cxnId="{332D3EE6-6AD5-B744-8798-57C7323DFC5E}">
      <dgm:prSet/>
      <dgm:spPr/>
      <dgm:t>
        <a:bodyPr/>
        <a:lstStyle/>
        <a:p>
          <a:endParaRPr lang="en-US" sz="800"/>
        </a:p>
      </dgm:t>
    </dgm:pt>
    <dgm:pt modelId="{CC6F5999-474E-6B42-83D7-C5A245282F6C}">
      <dgm:prSet phldrT="[Text]" custT="1"/>
      <dgm:spPr/>
      <dgm:t>
        <a:bodyPr/>
        <a:lstStyle/>
        <a:p>
          <a:r>
            <a:rPr lang="en-US" sz="800" b="1"/>
            <a:t>COMMUNITY ENGAGEMENT AND PARTNERSHIPS</a:t>
          </a:r>
        </a:p>
        <a:p>
          <a:r>
            <a:rPr lang="en-US" sz="800" b="1"/>
            <a:t>Community Engagement</a:t>
          </a:r>
          <a:br>
            <a:rPr lang="en-US" sz="800" b="1"/>
          </a:br>
          <a:r>
            <a:rPr lang="en-US" sz="800" b="1"/>
            <a:t>Educational Partnerships</a:t>
          </a:r>
        </a:p>
        <a:p>
          <a:endParaRPr lang="en-US" sz="800"/>
        </a:p>
      </dgm:t>
    </dgm:pt>
    <dgm:pt modelId="{62996CB0-E9C2-F74A-8168-9F0E7E2551C0}" type="parTrans" cxnId="{C40340D0-0B56-0C46-BF1E-24F9F388B0DD}">
      <dgm:prSet/>
      <dgm:spPr/>
      <dgm:t>
        <a:bodyPr/>
        <a:lstStyle/>
        <a:p>
          <a:endParaRPr lang="en-US" sz="800"/>
        </a:p>
      </dgm:t>
    </dgm:pt>
    <dgm:pt modelId="{D205A8B5-4D63-E844-90C3-E0F087E02942}" type="sibTrans" cxnId="{C40340D0-0B56-0C46-BF1E-24F9F388B0DD}">
      <dgm:prSet/>
      <dgm:spPr/>
      <dgm:t>
        <a:bodyPr/>
        <a:lstStyle/>
        <a:p>
          <a:endParaRPr lang="en-US" sz="800"/>
        </a:p>
      </dgm:t>
    </dgm:pt>
    <dgm:pt modelId="{0366FAEB-1952-FE45-A50A-3B8421839D59}">
      <dgm:prSet phldrT="[Text]" custT="1"/>
      <dgm:spPr/>
      <dgm:t>
        <a:bodyPr/>
        <a:lstStyle/>
        <a:p>
          <a:r>
            <a:rPr lang="en-US" sz="800" b="1"/>
            <a:t>ORGANIZATIONAL CULTURE AND COMMUNICATION</a:t>
          </a:r>
        </a:p>
        <a:p>
          <a:r>
            <a:rPr lang="en-US" sz="800" b="1"/>
            <a:t>Organizational Culture</a:t>
          </a:r>
          <a:br>
            <a:rPr lang="en-US" sz="800" b="1"/>
          </a:br>
          <a:r>
            <a:rPr lang="en-US" sz="800" b="1"/>
            <a:t>Communication and Marketing</a:t>
          </a:r>
        </a:p>
      </dgm:t>
    </dgm:pt>
    <dgm:pt modelId="{E23F2BA8-DAC6-B244-9CC4-2CF4B8B5D51F}" type="parTrans" cxnId="{7F6DBCF2-B085-204E-BCF4-3671ED0F687B}">
      <dgm:prSet/>
      <dgm:spPr/>
      <dgm:t>
        <a:bodyPr/>
        <a:lstStyle/>
        <a:p>
          <a:endParaRPr lang="en-US" sz="800"/>
        </a:p>
      </dgm:t>
    </dgm:pt>
    <dgm:pt modelId="{B2F5C15A-404A-E440-ABBE-D18B7E6ACCF9}" type="sibTrans" cxnId="{7F6DBCF2-B085-204E-BCF4-3671ED0F687B}">
      <dgm:prSet/>
      <dgm:spPr/>
      <dgm:t>
        <a:bodyPr/>
        <a:lstStyle/>
        <a:p>
          <a:endParaRPr lang="en-US" sz="800"/>
        </a:p>
      </dgm:t>
    </dgm:pt>
    <dgm:pt modelId="{9177EE91-F35D-4747-9C84-6BA08F97F09A}">
      <dgm:prSet phldrT="[Text]" custT="1"/>
      <dgm:spPr/>
      <dgm:t>
        <a:bodyPr/>
        <a:lstStyle/>
        <a:p>
          <a:r>
            <a:rPr lang="en-US" sz="800" b="1"/>
            <a:t>INSTITUTIONAL EFFECTIVENESS, INFRASTRUCTURE, AND RESOURCE MANAGEMENT</a:t>
          </a:r>
        </a:p>
        <a:p>
          <a:r>
            <a:rPr lang="en-US" sz="800" b="1"/>
            <a:t>Institutional Effectiveness</a:t>
          </a:r>
          <a:br>
            <a:rPr lang="en-US" sz="800" b="1"/>
          </a:br>
          <a:r>
            <a:rPr lang="en-US" sz="800" b="1"/>
            <a:t>Capital Resources</a:t>
          </a:r>
          <a:br>
            <a:rPr lang="en-US" sz="800" b="1"/>
          </a:br>
          <a:r>
            <a:rPr lang="en-US" sz="800" b="1"/>
            <a:t>Fiscal Resources</a:t>
          </a:r>
        </a:p>
        <a:p>
          <a:endParaRPr lang="en-US" sz="800"/>
        </a:p>
      </dgm:t>
    </dgm:pt>
    <dgm:pt modelId="{B47F4FB4-6B4A-A244-89FC-DCC9AD9F0EF7}" type="parTrans" cxnId="{911352E3-21D6-7F4C-95C8-7C11AF34102C}">
      <dgm:prSet/>
      <dgm:spPr/>
      <dgm:t>
        <a:bodyPr/>
        <a:lstStyle/>
        <a:p>
          <a:endParaRPr lang="en-US" sz="800"/>
        </a:p>
      </dgm:t>
    </dgm:pt>
    <dgm:pt modelId="{D4078D0E-62E4-7442-8CBD-FAAC4A8FC6A5}" type="sibTrans" cxnId="{911352E3-21D6-7F4C-95C8-7C11AF34102C}">
      <dgm:prSet/>
      <dgm:spPr/>
      <dgm:t>
        <a:bodyPr/>
        <a:lstStyle/>
        <a:p>
          <a:endParaRPr lang="en-US" sz="800"/>
        </a:p>
      </dgm:t>
    </dgm:pt>
    <dgm:pt modelId="{0E6FE830-97D3-DE47-882C-E754597A1177}" type="pres">
      <dgm:prSet presAssocID="{6516E34F-3488-F446-9A77-37802617FBAC}" presName="cycle" presStyleCnt="0">
        <dgm:presLayoutVars>
          <dgm:dir/>
          <dgm:resizeHandles val="exact"/>
        </dgm:presLayoutVars>
      </dgm:prSet>
      <dgm:spPr/>
    </dgm:pt>
    <dgm:pt modelId="{42F81739-29C8-0846-8FED-A458550B48CA}" type="pres">
      <dgm:prSet presAssocID="{B56E1252-B0FE-5C48-9DF5-624AD512B45A}" presName="node" presStyleLbl="node1" presStyleIdx="0" presStyleCnt="6" custScaleX="297406" custScaleY="151420">
        <dgm:presLayoutVars>
          <dgm:bulletEnabled val="1"/>
        </dgm:presLayoutVars>
      </dgm:prSet>
      <dgm:spPr/>
    </dgm:pt>
    <dgm:pt modelId="{F9C518CD-E226-084D-9B3B-62311885D1AB}" type="pres">
      <dgm:prSet presAssocID="{B56E1252-B0FE-5C48-9DF5-624AD512B45A}" presName="spNode" presStyleCnt="0"/>
      <dgm:spPr/>
    </dgm:pt>
    <dgm:pt modelId="{5F213BAD-0619-1147-BA8B-21221EE4B0C0}" type="pres">
      <dgm:prSet presAssocID="{372FF1F1-5AF2-6643-A17B-2D9B71C81157}" presName="sibTrans" presStyleLbl="sibTrans1D1" presStyleIdx="0" presStyleCnt="6"/>
      <dgm:spPr/>
    </dgm:pt>
    <dgm:pt modelId="{03EC281B-CF4F-3C4C-AAB9-5EDC1B60E72B}" type="pres">
      <dgm:prSet presAssocID="{891E177E-4EE5-5144-AD17-544D423B8710}" presName="node" presStyleLbl="node1" presStyleIdx="1" presStyleCnt="6" custScaleX="281146" custScaleY="151484" custRadScaleRad="99979" custRadScaleInc="60569">
        <dgm:presLayoutVars>
          <dgm:bulletEnabled val="1"/>
        </dgm:presLayoutVars>
      </dgm:prSet>
      <dgm:spPr/>
    </dgm:pt>
    <dgm:pt modelId="{BDAEC567-0032-C14A-81C0-18EE23EE0700}" type="pres">
      <dgm:prSet presAssocID="{891E177E-4EE5-5144-AD17-544D423B8710}" presName="spNode" presStyleCnt="0"/>
      <dgm:spPr/>
    </dgm:pt>
    <dgm:pt modelId="{7906E29F-193A-334E-B054-C8EF9A83FA09}" type="pres">
      <dgm:prSet presAssocID="{28C56932-40F4-BD46-BF70-C8E64F180642}" presName="sibTrans" presStyleLbl="sibTrans1D1" presStyleIdx="1" presStyleCnt="6"/>
      <dgm:spPr/>
    </dgm:pt>
    <dgm:pt modelId="{E7628189-C57A-614F-9B2B-330F21CF92B4}" type="pres">
      <dgm:prSet presAssocID="{4EEFB661-A778-7447-AAB1-6C6F3DFDC5B2}" presName="node" presStyleLbl="node1" presStyleIdx="2" presStyleCnt="6" custScaleX="254847" custScaleY="131833" custRadScaleRad="92292" custRadScaleInc="-45380">
        <dgm:presLayoutVars>
          <dgm:bulletEnabled val="1"/>
        </dgm:presLayoutVars>
      </dgm:prSet>
      <dgm:spPr/>
    </dgm:pt>
    <dgm:pt modelId="{2F87F26B-1B5B-DA43-88AA-765D3875D11F}" type="pres">
      <dgm:prSet presAssocID="{4EEFB661-A778-7447-AAB1-6C6F3DFDC5B2}" presName="spNode" presStyleCnt="0"/>
      <dgm:spPr/>
    </dgm:pt>
    <dgm:pt modelId="{A192CC50-4782-EE49-BFAE-CF8AA838BA3A}" type="pres">
      <dgm:prSet presAssocID="{84B74F68-BDEE-6C4D-BD9F-1191B5FF2088}" presName="sibTrans" presStyleLbl="sibTrans1D1" presStyleIdx="2" presStyleCnt="6"/>
      <dgm:spPr/>
    </dgm:pt>
    <dgm:pt modelId="{B4753713-39C2-CF40-B267-B99CF68A4DC2}" type="pres">
      <dgm:prSet presAssocID="{CC6F5999-474E-6B42-83D7-C5A245282F6C}" presName="node" presStyleLbl="node1" presStyleIdx="3" presStyleCnt="6" custScaleX="297208" custScaleY="127091" custRadScaleRad="89884" custRadScaleInc="1770">
        <dgm:presLayoutVars>
          <dgm:bulletEnabled val="1"/>
        </dgm:presLayoutVars>
      </dgm:prSet>
      <dgm:spPr/>
    </dgm:pt>
    <dgm:pt modelId="{FDECE4E6-BD30-FB43-B0D0-EEF8D8919790}" type="pres">
      <dgm:prSet presAssocID="{CC6F5999-474E-6B42-83D7-C5A245282F6C}" presName="spNode" presStyleCnt="0"/>
      <dgm:spPr/>
    </dgm:pt>
    <dgm:pt modelId="{5BE7E79E-B36D-134B-A0E8-9E4E5C9FC8E6}" type="pres">
      <dgm:prSet presAssocID="{D205A8B5-4D63-E844-90C3-E0F087E02942}" presName="sibTrans" presStyleLbl="sibTrans1D1" presStyleIdx="3" presStyleCnt="6"/>
      <dgm:spPr/>
    </dgm:pt>
    <dgm:pt modelId="{3BD4D6D4-FC9B-894D-97C8-CDF84B5C2DC2}" type="pres">
      <dgm:prSet presAssocID="{0366FAEB-1952-FE45-A50A-3B8421839D59}" presName="node" presStyleLbl="node1" presStyleIdx="4" presStyleCnt="6" custScaleX="254044" custScaleY="129326" custRadScaleRad="90980" custRadScaleInc="45596">
        <dgm:presLayoutVars>
          <dgm:bulletEnabled val="1"/>
        </dgm:presLayoutVars>
      </dgm:prSet>
      <dgm:spPr/>
    </dgm:pt>
    <dgm:pt modelId="{497B94E1-0D66-144E-9AFD-7A934082AEC4}" type="pres">
      <dgm:prSet presAssocID="{0366FAEB-1952-FE45-A50A-3B8421839D59}" presName="spNode" presStyleCnt="0"/>
      <dgm:spPr/>
    </dgm:pt>
    <dgm:pt modelId="{77CB9F98-A1EB-1B4A-BE07-72B812490020}" type="pres">
      <dgm:prSet presAssocID="{B2F5C15A-404A-E440-ABBE-D18B7E6ACCF9}" presName="sibTrans" presStyleLbl="sibTrans1D1" presStyleIdx="4" presStyleCnt="6"/>
      <dgm:spPr/>
    </dgm:pt>
    <dgm:pt modelId="{591375B8-514C-F642-B3B4-3DF88B67E302}" type="pres">
      <dgm:prSet presAssocID="{9177EE91-F35D-4747-9C84-6BA08F97F09A}" presName="node" presStyleLbl="node1" presStyleIdx="5" presStyleCnt="6" custScaleX="280263" custScaleY="152133" custRadScaleRad="97961" custRadScaleInc="-59086">
        <dgm:presLayoutVars>
          <dgm:bulletEnabled val="1"/>
        </dgm:presLayoutVars>
      </dgm:prSet>
      <dgm:spPr/>
    </dgm:pt>
    <dgm:pt modelId="{7A6A0B23-F800-A340-8A5D-1D40170C512F}" type="pres">
      <dgm:prSet presAssocID="{9177EE91-F35D-4747-9C84-6BA08F97F09A}" presName="spNode" presStyleCnt="0"/>
      <dgm:spPr/>
    </dgm:pt>
    <dgm:pt modelId="{BC0D6A22-A148-6149-9FF0-6E436663A074}" type="pres">
      <dgm:prSet presAssocID="{D4078D0E-62E4-7442-8CBD-FAAC4A8FC6A5}" presName="sibTrans" presStyleLbl="sibTrans1D1" presStyleIdx="5" presStyleCnt="6"/>
      <dgm:spPr/>
    </dgm:pt>
  </dgm:ptLst>
  <dgm:cxnLst>
    <dgm:cxn modelId="{942BCE0F-797F-4E45-9628-BEC66312888C}" type="presOf" srcId="{B56E1252-B0FE-5C48-9DF5-624AD512B45A}" destId="{42F81739-29C8-0846-8FED-A458550B48CA}" srcOrd="0" destOrd="0" presId="urn:microsoft.com/office/officeart/2005/8/layout/cycle6"/>
    <dgm:cxn modelId="{B445F625-7B0E-4145-8E88-947FB0201094}" type="presOf" srcId="{0366FAEB-1952-FE45-A50A-3B8421839D59}" destId="{3BD4D6D4-FC9B-894D-97C8-CDF84B5C2DC2}" srcOrd="0" destOrd="0" presId="urn:microsoft.com/office/officeart/2005/8/layout/cycle6"/>
    <dgm:cxn modelId="{A3F9AC36-30EE-4E46-A3B8-8FADD194703C}" type="presOf" srcId="{84B74F68-BDEE-6C4D-BD9F-1191B5FF2088}" destId="{A192CC50-4782-EE49-BFAE-CF8AA838BA3A}" srcOrd="0" destOrd="0" presId="urn:microsoft.com/office/officeart/2005/8/layout/cycle6"/>
    <dgm:cxn modelId="{962D3765-4195-C849-AF89-07332E9238A5}" type="presOf" srcId="{372FF1F1-5AF2-6643-A17B-2D9B71C81157}" destId="{5F213BAD-0619-1147-BA8B-21221EE4B0C0}" srcOrd="0" destOrd="0" presId="urn:microsoft.com/office/officeart/2005/8/layout/cycle6"/>
    <dgm:cxn modelId="{8808D973-437A-BA43-B95B-CAF4C9891E32}" type="presOf" srcId="{28C56932-40F4-BD46-BF70-C8E64F180642}" destId="{7906E29F-193A-334E-B054-C8EF9A83FA09}" srcOrd="0" destOrd="0" presId="urn:microsoft.com/office/officeart/2005/8/layout/cycle6"/>
    <dgm:cxn modelId="{07C34B54-B449-ED43-A510-7ABB3ED197E9}" type="presOf" srcId="{CC6F5999-474E-6B42-83D7-C5A245282F6C}" destId="{B4753713-39C2-CF40-B267-B99CF68A4DC2}" srcOrd="0" destOrd="0" presId="urn:microsoft.com/office/officeart/2005/8/layout/cycle6"/>
    <dgm:cxn modelId="{1CBB938F-EFDD-EC4E-A0C1-0BCB5AB75654}" type="presOf" srcId="{6516E34F-3488-F446-9A77-37802617FBAC}" destId="{0E6FE830-97D3-DE47-882C-E754597A1177}" srcOrd="0" destOrd="0" presId="urn:microsoft.com/office/officeart/2005/8/layout/cycle6"/>
    <dgm:cxn modelId="{4A3C6596-0D4C-FD4F-9886-E0A58F0DF926}" type="presOf" srcId="{D4078D0E-62E4-7442-8CBD-FAAC4A8FC6A5}" destId="{BC0D6A22-A148-6149-9FF0-6E436663A074}" srcOrd="0" destOrd="0" presId="urn:microsoft.com/office/officeart/2005/8/layout/cycle6"/>
    <dgm:cxn modelId="{E6C03F9C-E225-B04B-B739-26F6D47AB192}" type="presOf" srcId="{D205A8B5-4D63-E844-90C3-E0F087E02942}" destId="{5BE7E79E-B36D-134B-A0E8-9E4E5C9FC8E6}" srcOrd="0" destOrd="0" presId="urn:microsoft.com/office/officeart/2005/8/layout/cycle6"/>
    <dgm:cxn modelId="{ED85E4A2-D5B8-A446-BD0E-568C2D01F5F2}" type="presOf" srcId="{9177EE91-F35D-4747-9C84-6BA08F97F09A}" destId="{591375B8-514C-F642-B3B4-3DF88B67E302}" srcOrd="0" destOrd="0" presId="urn:microsoft.com/office/officeart/2005/8/layout/cycle6"/>
    <dgm:cxn modelId="{5F6879AE-439A-494F-AACE-D14A6BDA5548}" type="presOf" srcId="{4EEFB661-A778-7447-AAB1-6C6F3DFDC5B2}" destId="{E7628189-C57A-614F-9B2B-330F21CF92B4}" srcOrd="0" destOrd="0" presId="urn:microsoft.com/office/officeart/2005/8/layout/cycle6"/>
    <dgm:cxn modelId="{B72835CC-D140-C349-B523-B344096979C3}" type="presOf" srcId="{B2F5C15A-404A-E440-ABBE-D18B7E6ACCF9}" destId="{77CB9F98-A1EB-1B4A-BE07-72B812490020}" srcOrd="0" destOrd="0" presId="urn:microsoft.com/office/officeart/2005/8/layout/cycle6"/>
    <dgm:cxn modelId="{C40340D0-0B56-0C46-BF1E-24F9F388B0DD}" srcId="{6516E34F-3488-F446-9A77-37802617FBAC}" destId="{CC6F5999-474E-6B42-83D7-C5A245282F6C}" srcOrd="3" destOrd="0" parTransId="{62996CB0-E9C2-F74A-8168-9F0E7E2551C0}" sibTransId="{D205A8B5-4D63-E844-90C3-E0F087E02942}"/>
    <dgm:cxn modelId="{6DFBC6DC-1E1B-2140-AAEE-B5076211788A}" srcId="{6516E34F-3488-F446-9A77-37802617FBAC}" destId="{B56E1252-B0FE-5C48-9DF5-624AD512B45A}" srcOrd="0" destOrd="0" parTransId="{B5CC697F-3CA5-A540-88A9-BFE35B633A93}" sibTransId="{372FF1F1-5AF2-6643-A17B-2D9B71C81157}"/>
    <dgm:cxn modelId="{911352E3-21D6-7F4C-95C8-7C11AF34102C}" srcId="{6516E34F-3488-F446-9A77-37802617FBAC}" destId="{9177EE91-F35D-4747-9C84-6BA08F97F09A}" srcOrd="5" destOrd="0" parTransId="{B47F4FB4-6B4A-A244-89FC-DCC9AD9F0EF7}" sibTransId="{D4078D0E-62E4-7442-8CBD-FAAC4A8FC6A5}"/>
    <dgm:cxn modelId="{332D3EE6-6AD5-B744-8798-57C7323DFC5E}" srcId="{6516E34F-3488-F446-9A77-37802617FBAC}" destId="{4EEFB661-A778-7447-AAB1-6C6F3DFDC5B2}" srcOrd="2" destOrd="0" parTransId="{B2176B5B-E093-2F44-BA6F-518AF8AEF719}" sibTransId="{84B74F68-BDEE-6C4D-BD9F-1191B5FF2088}"/>
    <dgm:cxn modelId="{FDD130E9-E6C9-9646-9B48-A2BC0C0CE092}" type="presOf" srcId="{891E177E-4EE5-5144-AD17-544D423B8710}" destId="{03EC281B-CF4F-3C4C-AAB9-5EDC1B60E72B}" srcOrd="0" destOrd="0" presId="urn:microsoft.com/office/officeart/2005/8/layout/cycle6"/>
    <dgm:cxn modelId="{7F6DBCF2-B085-204E-BCF4-3671ED0F687B}" srcId="{6516E34F-3488-F446-9A77-37802617FBAC}" destId="{0366FAEB-1952-FE45-A50A-3B8421839D59}" srcOrd="4" destOrd="0" parTransId="{E23F2BA8-DAC6-B244-9CC4-2CF4B8B5D51F}" sibTransId="{B2F5C15A-404A-E440-ABBE-D18B7E6ACCF9}"/>
    <dgm:cxn modelId="{CAABF4FD-7DA7-8348-9743-53DCF1E634C2}" srcId="{6516E34F-3488-F446-9A77-37802617FBAC}" destId="{891E177E-4EE5-5144-AD17-544D423B8710}" srcOrd="1" destOrd="0" parTransId="{68D2DA85-F207-214A-B7B7-CD1CB395B76D}" sibTransId="{28C56932-40F4-BD46-BF70-C8E64F180642}"/>
    <dgm:cxn modelId="{B46F079D-74F8-5043-8B81-31AE004D22D2}" type="presParOf" srcId="{0E6FE830-97D3-DE47-882C-E754597A1177}" destId="{42F81739-29C8-0846-8FED-A458550B48CA}" srcOrd="0" destOrd="0" presId="urn:microsoft.com/office/officeart/2005/8/layout/cycle6"/>
    <dgm:cxn modelId="{CACE1843-BA31-A64C-9631-1DA2FD27B6AA}" type="presParOf" srcId="{0E6FE830-97D3-DE47-882C-E754597A1177}" destId="{F9C518CD-E226-084D-9B3B-62311885D1AB}" srcOrd="1" destOrd="0" presId="urn:microsoft.com/office/officeart/2005/8/layout/cycle6"/>
    <dgm:cxn modelId="{82EFA2BC-EA9B-1A4A-B3B2-E1FF49D162A7}" type="presParOf" srcId="{0E6FE830-97D3-DE47-882C-E754597A1177}" destId="{5F213BAD-0619-1147-BA8B-21221EE4B0C0}" srcOrd="2" destOrd="0" presId="urn:microsoft.com/office/officeart/2005/8/layout/cycle6"/>
    <dgm:cxn modelId="{CC22A441-F801-534F-836E-682DD9B572CE}" type="presParOf" srcId="{0E6FE830-97D3-DE47-882C-E754597A1177}" destId="{03EC281B-CF4F-3C4C-AAB9-5EDC1B60E72B}" srcOrd="3" destOrd="0" presId="urn:microsoft.com/office/officeart/2005/8/layout/cycle6"/>
    <dgm:cxn modelId="{7C483781-044B-F048-A108-CDEE87B8326C}" type="presParOf" srcId="{0E6FE830-97D3-DE47-882C-E754597A1177}" destId="{BDAEC567-0032-C14A-81C0-18EE23EE0700}" srcOrd="4" destOrd="0" presId="urn:microsoft.com/office/officeart/2005/8/layout/cycle6"/>
    <dgm:cxn modelId="{256B06C3-7D53-5F4B-8AE2-F8207D2CD2D2}" type="presParOf" srcId="{0E6FE830-97D3-DE47-882C-E754597A1177}" destId="{7906E29F-193A-334E-B054-C8EF9A83FA09}" srcOrd="5" destOrd="0" presId="urn:microsoft.com/office/officeart/2005/8/layout/cycle6"/>
    <dgm:cxn modelId="{C7967D7D-DA27-3A45-9385-40A8F8D50FC8}" type="presParOf" srcId="{0E6FE830-97D3-DE47-882C-E754597A1177}" destId="{E7628189-C57A-614F-9B2B-330F21CF92B4}" srcOrd="6" destOrd="0" presId="urn:microsoft.com/office/officeart/2005/8/layout/cycle6"/>
    <dgm:cxn modelId="{B1510854-19D5-A94E-AB9B-0E1FB0314EBA}" type="presParOf" srcId="{0E6FE830-97D3-DE47-882C-E754597A1177}" destId="{2F87F26B-1B5B-DA43-88AA-765D3875D11F}" srcOrd="7" destOrd="0" presId="urn:microsoft.com/office/officeart/2005/8/layout/cycle6"/>
    <dgm:cxn modelId="{BB0699B4-0903-D542-9722-43F217D0AACE}" type="presParOf" srcId="{0E6FE830-97D3-DE47-882C-E754597A1177}" destId="{A192CC50-4782-EE49-BFAE-CF8AA838BA3A}" srcOrd="8" destOrd="0" presId="urn:microsoft.com/office/officeart/2005/8/layout/cycle6"/>
    <dgm:cxn modelId="{5592E050-91D3-DD40-993C-E6A20B8D2B94}" type="presParOf" srcId="{0E6FE830-97D3-DE47-882C-E754597A1177}" destId="{B4753713-39C2-CF40-B267-B99CF68A4DC2}" srcOrd="9" destOrd="0" presId="urn:microsoft.com/office/officeart/2005/8/layout/cycle6"/>
    <dgm:cxn modelId="{D3354B4C-404F-094E-A42E-74FE0363EF7A}" type="presParOf" srcId="{0E6FE830-97D3-DE47-882C-E754597A1177}" destId="{FDECE4E6-BD30-FB43-B0D0-EEF8D8919790}" srcOrd="10" destOrd="0" presId="urn:microsoft.com/office/officeart/2005/8/layout/cycle6"/>
    <dgm:cxn modelId="{39FE461B-FBE4-9E48-86BD-E5A07FB5290A}" type="presParOf" srcId="{0E6FE830-97D3-DE47-882C-E754597A1177}" destId="{5BE7E79E-B36D-134B-A0E8-9E4E5C9FC8E6}" srcOrd="11" destOrd="0" presId="urn:microsoft.com/office/officeart/2005/8/layout/cycle6"/>
    <dgm:cxn modelId="{76C5820D-FA22-4740-8A4D-5CB94BCCFB92}" type="presParOf" srcId="{0E6FE830-97D3-DE47-882C-E754597A1177}" destId="{3BD4D6D4-FC9B-894D-97C8-CDF84B5C2DC2}" srcOrd="12" destOrd="0" presId="urn:microsoft.com/office/officeart/2005/8/layout/cycle6"/>
    <dgm:cxn modelId="{08BA7475-20FB-4F4B-8684-EDD627A606C5}" type="presParOf" srcId="{0E6FE830-97D3-DE47-882C-E754597A1177}" destId="{497B94E1-0D66-144E-9AFD-7A934082AEC4}" srcOrd="13" destOrd="0" presId="urn:microsoft.com/office/officeart/2005/8/layout/cycle6"/>
    <dgm:cxn modelId="{9531B49E-C1EA-DF43-B7CA-269E05674C38}" type="presParOf" srcId="{0E6FE830-97D3-DE47-882C-E754597A1177}" destId="{77CB9F98-A1EB-1B4A-BE07-72B812490020}" srcOrd="14" destOrd="0" presId="urn:microsoft.com/office/officeart/2005/8/layout/cycle6"/>
    <dgm:cxn modelId="{BCA35812-38C1-2949-A92B-C2F21C2A72A7}" type="presParOf" srcId="{0E6FE830-97D3-DE47-882C-E754597A1177}" destId="{591375B8-514C-F642-B3B4-3DF88B67E302}" srcOrd="15" destOrd="0" presId="urn:microsoft.com/office/officeart/2005/8/layout/cycle6"/>
    <dgm:cxn modelId="{EEE166E8-959D-E049-A94A-67BDB9957F67}" type="presParOf" srcId="{0E6FE830-97D3-DE47-882C-E754597A1177}" destId="{7A6A0B23-F800-A340-8A5D-1D40170C512F}" srcOrd="16" destOrd="0" presId="urn:microsoft.com/office/officeart/2005/8/layout/cycle6"/>
    <dgm:cxn modelId="{DBC7E802-D630-C240-8FE1-13B512FF2673}" type="presParOf" srcId="{0E6FE830-97D3-DE47-882C-E754597A1177}" destId="{BC0D6A22-A148-6149-9FF0-6E436663A074}" srcOrd="17" destOrd="0" presId="urn:microsoft.com/office/officeart/2005/8/layout/cycle6"/>
  </dgm:cxnLst>
  <dgm:bg/>
  <dgm:whole/>
  <dgm:extLst>
    <a:ext uri="http://schemas.microsoft.com/office/drawing/2008/diagram">
      <dsp:dataModelExt xmlns:dsp="http://schemas.microsoft.com/office/drawing/2008/diagram" relId="rId1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E909D3-89CB-C245-A2D3-453D8F2C9BA6}">
      <dsp:nvSpPr>
        <dsp:cNvPr id="0" name=""/>
        <dsp:cNvSpPr/>
      </dsp:nvSpPr>
      <dsp:spPr>
        <a:xfrm rot="16200000">
          <a:off x="1130005" y="-1130005"/>
          <a:ext cx="682942" cy="2942952"/>
        </a:xfrm>
        <a:prstGeom prst="round1Rect">
          <a:avLst/>
        </a:prstGeom>
        <a:solidFill>
          <a:srgbClr val="4472C4">
            <a:lumMod val="20000"/>
            <a:lumOff val="80000"/>
          </a:srgb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 lastClr="FFFFFF"/>
            </a:solidFill>
            <a:latin typeface="Calibri" panose="020F0502020204030204"/>
            <a:ea typeface="+mn-ea"/>
            <a:cs typeface="+mn-cs"/>
          </a:endParaRPr>
        </a:p>
        <a:p>
          <a:pPr marL="0" lvl="0" indent="0" algn="ctr" defTabSz="266700">
            <a:lnSpc>
              <a:spcPct val="90000"/>
            </a:lnSpc>
            <a:spcBef>
              <a:spcPct val="0"/>
            </a:spcBef>
            <a:spcAft>
              <a:spcPct val="35000"/>
            </a:spcAft>
            <a:buNone/>
          </a:pPr>
          <a:r>
            <a:rPr lang="en-US" sz="900" kern="1200">
              <a:solidFill>
                <a:sysClr val="windowText" lastClr="000000"/>
              </a:solidFill>
              <a:latin typeface="Calibri" panose="020F0502020204030204"/>
              <a:ea typeface="+mn-ea"/>
              <a:cs typeface="+mn-cs"/>
            </a:rPr>
            <a:t>INTERNAL QUANTITATIVE DATA</a:t>
          </a:r>
          <a:br>
            <a:rPr lang="en-US" sz="900" kern="1200">
              <a:solidFill>
                <a:sysClr val="windowText" lastClr="000000"/>
              </a:solidFill>
              <a:latin typeface="Calibri" panose="020F0502020204030204"/>
              <a:ea typeface="+mn-ea"/>
              <a:cs typeface="+mn-cs"/>
            </a:rPr>
          </a:br>
          <a:r>
            <a:rPr lang="en-US" sz="800" kern="1200">
              <a:solidFill>
                <a:sysClr val="windowText" lastClr="000000"/>
              </a:solidFill>
              <a:latin typeface="Calibri" panose="020F0502020204030204"/>
              <a:ea typeface="+mn-ea"/>
              <a:cs typeface="+mn-cs"/>
            </a:rPr>
            <a:t>Environmental scan; data on students, enrollments, student access and success, staff, programs, services, and measures of effectiveness and efficiency.</a:t>
          </a:r>
          <a:endParaRPr lang="en-US" sz="600" kern="1200">
            <a:solidFill>
              <a:sysClr val="windowText" lastClr="000000"/>
            </a:solidFill>
            <a:latin typeface="Calibri" panose="020F0502020204030204"/>
            <a:ea typeface="+mn-ea"/>
            <a:cs typeface="+mn-cs"/>
          </a:endParaRPr>
        </a:p>
      </dsp:txBody>
      <dsp:txXfrm rot="5400000">
        <a:off x="0" y="25004"/>
        <a:ext cx="2942952" cy="487202"/>
      </dsp:txXfrm>
    </dsp:sp>
    <dsp:sp modelId="{202AE4C3-2642-0642-9A44-C15FEF63FD36}">
      <dsp:nvSpPr>
        <dsp:cNvPr id="0" name=""/>
        <dsp:cNvSpPr/>
      </dsp:nvSpPr>
      <dsp:spPr>
        <a:xfrm>
          <a:off x="2942952" y="0"/>
          <a:ext cx="2942952" cy="682942"/>
        </a:xfrm>
        <a:prstGeom prst="round1Rect">
          <a:avLst/>
        </a:prstGeom>
        <a:solidFill>
          <a:srgbClr val="4472C4">
            <a:lumMod val="20000"/>
            <a:lumOff val="80000"/>
          </a:srgb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 lastClr="FFFFFF"/>
            </a:solidFill>
            <a:latin typeface="Calibri" panose="020F0502020204030204"/>
            <a:ea typeface="+mn-ea"/>
            <a:cs typeface="+mn-cs"/>
          </a:endParaRPr>
        </a:p>
        <a:p>
          <a:pPr marL="0" lvl="0" indent="0" algn="ctr" defTabSz="266700">
            <a:lnSpc>
              <a:spcPct val="90000"/>
            </a:lnSpc>
            <a:spcBef>
              <a:spcPct val="0"/>
            </a:spcBef>
            <a:spcAft>
              <a:spcPct val="35000"/>
            </a:spcAft>
            <a:buNone/>
          </a:pPr>
          <a:r>
            <a:rPr lang="en-US" sz="900" kern="1200">
              <a:solidFill>
                <a:sysClr val="windowText" lastClr="000000"/>
              </a:solidFill>
              <a:latin typeface="Calibri" panose="020F0502020204030204"/>
              <a:ea typeface="+mn-ea"/>
              <a:cs typeface="+mn-cs"/>
            </a:rPr>
            <a:t>EXTERNAL QUANTITATIVE DATA</a:t>
          </a:r>
          <a:br>
            <a:rPr lang="en-US" sz="900" kern="1200">
              <a:solidFill>
                <a:sysClr val="windowText" lastClr="000000"/>
              </a:solidFill>
              <a:latin typeface="Calibri" panose="020F0502020204030204"/>
              <a:ea typeface="+mn-ea"/>
              <a:cs typeface="+mn-cs"/>
            </a:rPr>
          </a:br>
          <a:r>
            <a:rPr lang="en-US" sz="800" kern="1200">
              <a:solidFill>
                <a:sysClr val="windowText" lastClr="000000"/>
              </a:solidFill>
              <a:latin typeface="Calibri" panose="020F0502020204030204"/>
              <a:ea typeface="+mn-ea"/>
              <a:cs typeface="+mn-cs"/>
            </a:rPr>
            <a:t>Environmental scan; national, state, and regional data; District/College service area data, including city and county demographics, the economy, and the workforce.</a:t>
          </a:r>
        </a:p>
      </dsp:txBody>
      <dsp:txXfrm>
        <a:off x="2942952" y="0"/>
        <a:ext cx="2917948" cy="512206"/>
      </dsp:txXfrm>
    </dsp:sp>
    <dsp:sp modelId="{C212345D-8DB1-3B48-82F0-9C338CF32913}">
      <dsp:nvSpPr>
        <dsp:cNvPr id="0" name=""/>
        <dsp:cNvSpPr/>
      </dsp:nvSpPr>
      <dsp:spPr>
        <a:xfrm rot="10800000">
          <a:off x="0" y="682942"/>
          <a:ext cx="2942952" cy="682942"/>
        </a:xfrm>
        <a:prstGeom prst="round1Rect">
          <a:avLst/>
        </a:prstGeom>
        <a:solidFill>
          <a:srgbClr val="4472C4">
            <a:lumMod val="20000"/>
            <a:lumOff val="80000"/>
          </a:srgb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Calibri" panose="020F0502020204030204"/>
              <a:ea typeface="+mn-ea"/>
              <a:cs typeface="+mn-cs"/>
            </a:rPr>
            <a:t>INTERNAL QUALITATIVE DATA </a:t>
          </a:r>
          <a:br>
            <a:rPr lang="en-US" sz="900" kern="1200">
              <a:solidFill>
                <a:sysClr val="windowText" lastClr="000000"/>
              </a:solidFill>
              <a:latin typeface="Calibri" panose="020F0502020204030204"/>
              <a:ea typeface="+mn-ea"/>
              <a:cs typeface="+mn-cs"/>
            </a:rPr>
          </a:br>
          <a:r>
            <a:rPr lang="en-US" sz="900" kern="1200">
              <a:solidFill>
                <a:sysClr val="windowText" lastClr="000000"/>
              </a:solidFill>
              <a:latin typeface="Calibri" panose="020F0502020204030204"/>
              <a:ea typeface="+mn-ea"/>
              <a:cs typeface="+mn-cs"/>
            </a:rPr>
            <a:t>I</a:t>
          </a:r>
          <a:r>
            <a:rPr lang="en-US" sz="800" kern="1200">
              <a:solidFill>
                <a:sysClr val="windowText" lastClr="000000"/>
              </a:solidFill>
              <a:latin typeface="Calibri" panose="020F0502020204030204"/>
              <a:ea typeface="+mn-ea"/>
              <a:cs typeface="+mn-cs"/>
            </a:rPr>
            <a:t>nformation and perspectives of students and staff of the District/College regarding its future direction.</a:t>
          </a:r>
        </a:p>
        <a:p>
          <a:pPr marL="0" lvl="0" indent="0" algn="ctr" defTabSz="400050">
            <a:lnSpc>
              <a:spcPct val="90000"/>
            </a:lnSpc>
            <a:spcBef>
              <a:spcPct val="0"/>
            </a:spcBef>
            <a:spcAft>
              <a:spcPct val="35000"/>
            </a:spcAft>
            <a:buNone/>
          </a:pPr>
          <a:endParaRPr lang="en-US" sz="800" kern="1200">
            <a:solidFill>
              <a:sysClr val="window" lastClr="FFFFFF"/>
            </a:solidFill>
            <a:latin typeface="Calibri" panose="020F0502020204030204"/>
            <a:ea typeface="+mn-ea"/>
            <a:cs typeface="+mn-cs"/>
          </a:endParaRPr>
        </a:p>
      </dsp:txBody>
      <dsp:txXfrm rot="10800000">
        <a:off x="25004" y="853678"/>
        <a:ext cx="2917948" cy="512206"/>
      </dsp:txXfrm>
    </dsp:sp>
    <dsp:sp modelId="{83706CCE-4F97-2540-B5FB-CE007CF8FC1D}">
      <dsp:nvSpPr>
        <dsp:cNvPr id="0" name=""/>
        <dsp:cNvSpPr/>
      </dsp:nvSpPr>
      <dsp:spPr>
        <a:xfrm rot="5400000">
          <a:off x="4072958" y="-447062"/>
          <a:ext cx="682942" cy="2942952"/>
        </a:xfrm>
        <a:prstGeom prst="round1Rect">
          <a:avLst/>
        </a:prstGeom>
        <a:solidFill>
          <a:srgbClr val="4472C4">
            <a:lumMod val="20000"/>
            <a:lumOff val="80000"/>
          </a:srgb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Calibri" panose="020F0502020204030204"/>
              <a:ea typeface="+mn-ea"/>
              <a:cs typeface="+mn-cs"/>
            </a:rPr>
            <a:t>EXTERNAL QUALITATIVE DATA </a:t>
          </a:r>
          <a:br>
            <a:rPr lang="en-US" sz="900" kern="1200">
              <a:solidFill>
                <a:sysClr val="windowText" lastClr="000000"/>
              </a:solidFill>
              <a:latin typeface="Calibri" panose="020F0502020204030204"/>
              <a:ea typeface="+mn-ea"/>
              <a:cs typeface="+mn-cs"/>
            </a:rPr>
          </a:br>
          <a:r>
            <a:rPr lang="en-US" sz="900" kern="1200">
              <a:solidFill>
                <a:sysClr val="windowText" lastClr="000000"/>
              </a:solidFill>
              <a:latin typeface="Calibri" panose="020F0502020204030204"/>
              <a:ea typeface="+mn-ea"/>
              <a:cs typeface="+mn-cs"/>
            </a:rPr>
            <a:t>I</a:t>
          </a:r>
          <a:r>
            <a:rPr lang="en-US" sz="800" kern="1200">
              <a:solidFill>
                <a:sysClr val="windowText" lastClr="000000"/>
              </a:solidFill>
              <a:latin typeface="Calibri" panose="020F0502020204030204"/>
              <a:ea typeface="+mn-ea"/>
              <a:cs typeface="+mn-cs"/>
            </a:rPr>
            <a:t>nformation and perspectives from trustees and community, business, industry, and educational partners regarding the future direction of the District/College. </a:t>
          </a:r>
        </a:p>
      </dsp:txBody>
      <dsp:txXfrm rot="-5400000">
        <a:off x="2942953" y="853679"/>
        <a:ext cx="2942952" cy="487202"/>
      </dsp:txXfrm>
    </dsp:sp>
    <dsp:sp modelId="{4FADEDD6-5F8A-D74C-B0E6-B68653D9E5A4}">
      <dsp:nvSpPr>
        <dsp:cNvPr id="0" name=""/>
        <dsp:cNvSpPr/>
      </dsp:nvSpPr>
      <dsp:spPr>
        <a:xfrm>
          <a:off x="2060067" y="562949"/>
          <a:ext cx="1765771" cy="239985"/>
        </a:xfrm>
        <a:prstGeom prst="roundRect">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hueOff val="0"/>
                  <a:satOff val="0"/>
                  <a:lumOff val="0"/>
                  <a:alphaOff val="0"/>
                </a:sysClr>
              </a:solidFill>
              <a:latin typeface="Calibri" panose="020F0502020204030204"/>
              <a:ea typeface="+mn-ea"/>
              <a:cs typeface="+mn-cs"/>
            </a:rPr>
            <a:t>Discovery Phase </a:t>
          </a:r>
          <a:br>
            <a:rPr lang="en-US" sz="900" b="1" kern="1200">
              <a:solidFill>
                <a:sysClr val="windowText" lastClr="000000">
                  <a:hueOff val="0"/>
                  <a:satOff val="0"/>
                  <a:lumOff val="0"/>
                  <a:alphaOff val="0"/>
                </a:sysClr>
              </a:solidFill>
              <a:latin typeface="Calibri" panose="020F0502020204030204"/>
              <a:ea typeface="+mn-ea"/>
              <a:cs typeface="+mn-cs"/>
            </a:rPr>
          </a:br>
          <a:r>
            <a:rPr lang="en-US" sz="900" b="1" kern="1200">
              <a:solidFill>
                <a:sysClr val="windowText" lastClr="000000">
                  <a:hueOff val="0"/>
                  <a:satOff val="0"/>
                  <a:lumOff val="0"/>
                  <a:alphaOff val="0"/>
                </a:sysClr>
              </a:solidFill>
              <a:latin typeface="Calibri" panose="020F0502020204030204"/>
              <a:ea typeface="+mn-ea"/>
              <a:cs typeface="+mn-cs"/>
            </a:rPr>
            <a:t>4 Data Sources</a:t>
          </a:r>
        </a:p>
      </dsp:txBody>
      <dsp:txXfrm>
        <a:off x="2071782" y="574664"/>
        <a:ext cx="1742341" cy="2165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F81739-29C8-0846-8FED-A458550B48CA}">
      <dsp:nvSpPr>
        <dsp:cNvPr id="0" name=""/>
        <dsp:cNvSpPr/>
      </dsp:nvSpPr>
      <dsp:spPr>
        <a:xfrm>
          <a:off x="1419724" y="-117411"/>
          <a:ext cx="2757158" cy="9124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en-US" sz="800" b="1" kern="1200"/>
        </a:p>
        <a:p>
          <a:pPr marL="0" lvl="0" indent="0" algn="ctr" defTabSz="355600">
            <a:lnSpc>
              <a:spcPct val="90000"/>
            </a:lnSpc>
            <a:spcBef>
              <a:spcPct val="0"/>
            </a:spcBef>
            <a:spcAft>
              <a:spcPct val="35000"/>
            </a:spcAft>
            <a:buNone/>
          </a:pPr>
          <a:r>
            <a:rPr lang="en-US" sz="800" b="1" kern="1200"/>
            <a:t>ENHANCING THE STUDENT EXPERIENCE AND RESOURCES</a:t>
          </a:r>
        </a:p>
        <a:p>
          <a:pPr marL="0" lvl="0" indent="0" algn="ctr" defTabSz="355600">
            <a:lnSpc>
              <a:spcPct val="90000"/>
            </a:lnSpc>
            <a:spcBef>
              <a:spcPct val="0"/>
            </a:spcBef>
            <a:spcAft>
              <a:spcPct val="35000"/>
            </a:spcAft>
            <a:buNone/>
          </a:pPr>
          <a:r>
            <a:rPr lang="en-US" sz="800" b="1" kern="1200"/>
            <a:t>Student Experience</a:t>
          </a:r>
          <a:br>
            <a:rPr lang="en-US" sz="800" b="1" kern="1200"/>
          </a:br>
          <a:r>
            <a:rPr lang="en-US" sz="800" b="1" kern="1200"/>
            <a:t>Enrollment and Retention</a:t>
          </a:r>
          <a:br>
            <a:rPr lang="en-US" sz="800" b="1" kern="1200"/>
          </a:br>
          <a:r>
            <a:rPr lang="en-US" sz="800" b="1" kern="1200"/>
            <a:t>Academic Counseling</a:t>
          </a:r>
          <a:br>
            <a:rPr lang="en-US" sz="800" b="1" kern="1200"/>
          </a:br>
          <a:r>
            <a:rPr lang="en-US" sz="800" b="1" kern="1200"/>
            <a:t>Student Engagement</a:t>
          </a:r>
          <a:br>
            <a:rPr lang="en-US" sz="800" b="1" kern="1200"/>
          </a:br>
          <a:r>
            <a:rPr lang="en-US" sz="800" b="1" kern="1200"/>
            <a:t>Student Resources</a:t>
          </a:r>
        </a:p>
        <a:p>
          <a:pPr marL="0" lvl="0" indent="0" algn="ctr" defTabSz="355600">
            <a:lnSpc>
              <a:spcPct val="90000"/>
            </a:lnSpc>
            <a:spcBef>
              <a:spcPct val="0"/>
            </a:spcBef>
            <a:spcAft>
              <a:spcPct val="35000"/>
            </a:spcAft>
            <a:buNone/>
          </a:pPr>
          <a:endParaRPr lang="en-US" sz="800" b="1" kern="1200"/>
        </a:p>
      </dsp:txBody>
      <dsp:txXfrm>
        <a:off x="1464266" y="-72869"/>
        <a:ext cx="2668074" cy="823365"/>
      </dsp:txXfrm>
    </dsp:sp>
    <dsp:sp modelId="{5F213BAD-0619-1147-BA8B-21221EE4B0C0}">
      <dsp:nvSpPr>
        <dsp:cNvPr id="0" name=""/>
        <dsp:cNvSpPr/>
      </dsp:nvSpPr>
      <dsp:spPr>
        <a:xfrm>
          <a:off x="1220063" y="557320"/>
          <a:ext cx="2837180" cy="2837180"/>
        </a:xfrm>
        <a:custGeom>
          <a:avLst/>
          <a:gdLst/>
          <a:ahLst/>
          <a:cxnLst/>
          <a:rect l="0" t="0" r="0" b="0"/>
          <a:pathLst>
            <a:path>
              <a:moveTo>
                <a:pt x="2205674" y="238380"/>
              </a:moveTo>
              <a:arcTo wR="1418590" hR="1418590" stAng="18221964" swAng="28389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3EC281B-CF4F-3C4C-AAB9-5EDC1B60E72B}">
      <dsp:nvSpPr>
        <dsp:cNvPr id="0" name=""/>
        <dsp:cNvSpPr/>
      </dsp:nvSpPr>
      <dsp:spPr>
        <a:xfrm>
          <a:off x="2844838" y="865389"/>
          <a:ext cx="2606417" cy="91283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EDUCATIONAL PROGRAMS AND SUPPORT</a:t>
          </a:r>
        </a:p>
        <a:p>
          <a:pPr marL="0" lvl="0" indent="0" algn="ctr" defTabSz="355600">
            <a:lnSpc>
              <a:spcPct val="90000"/>
            </a:lnSpc>
            <a:spcBef>
              <a:spcPct val="0"/>
            </a:spcBef>
            <a:spcAft>
              <a:spcPct val="35000"/>
            </a:spcAft>
            <a:buNone/>
          </a:pPr>
          <a:r>
            <a:rPr lang="en-US" sz="800" b="1" kern="1200"/>
            <a:t>Scheduling</a:t>
          </a:r>
          <a:br>
            <a:rPr lang="en-US" sz="800" b="1" kern="1200"/>
          </a:br>
          <a:r>
            <a:rPr lang="en-US" sz="800" b="1" kern="1200"/>
            <a:t>Career/Guided Pathways</a:t>
          </a:r>
          <a:br>
            <a:rPr lang="en-US" sz="800" b="1" kern="1200"/>
          </a:br>
          <a:r>
            <a:rPr lang="en-US" sz="800" b="1" kern="1200"/>
            <a:t>Educational Offerings</a:t>
          </a:r>
          <a:br>
            <a:rPr lang="en-US" sz="800" b="1" kern="1200"/>
          </a:br>
          <a:r>
            <a:rPr lang="en-US" sz="800" b="1" kern="1200"/>
            <a:t>Program Review and Opportunities</a:t>
          </a:r>
          <a:br>
            <a:rPr lang="en-US" sz="800" b="1" kern="1200"/>
          </a:br>
          <a:r>
            <a:rPr lang="en-US" sz="800" b="1" kern="1200"/>
            <a:t>Online Learning</a:t>
          </a:r>
          <a:br>
            <a:rPr lang="en-US" sz="800" b="1" kern="1200"/>
          </a:br>
          <a:r>
            <a:rPr lang="en-US" sz="800" b="1" kern="1200"/>
            <a:t>Student Support</a:t>
          </a:r>
        </a:p>
      </dsp:txBody>
      <dsp:txXfrm>
        <a:off x="2889399" y="909950"/>
        <a:ext cx="2517295" cy="823712"/>
      </dsp:txXfrm>
    </dsp:sp>
    <dsp:sp modelId="{7906E29F-193A-334E-B054-C8EF9A83FA09}">
      <dsp:nvSpPr>
        <dsp:cNvPr id="0" name=""/>
        <dsp:cNvSpPr/>
      </dsp:nvSpPr>
      <dsp:spPr>
        <a:xfrm>
          <a:off x="2163908" y="-909425"/>
          <a:ext cx="2837180" cy="2837180"/>
        </a:xfrm>
        <a:custGeom>
          <a:avLst/>
          <a:gdLst/>
          <a:ahLst/>
          <a:cxnLst/>
          <a:rect l="0" t="0" r="0" b="0"/>
          <a:pathLst>
            <a:path>
              <a:moveTo>
                <a:pt x="2051448" y="2688191"/>
              </a:moveTo>
              <a:arcTo wR="1418590" hR="1418590" stAng="3810307" swAng="28830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7628189-C57A-614F-9B2B-330F21CF92B4}">
      <dsp:nvSpPr>
        <dsp:cNvPr id="0" name=""/>
        <dsp:cNvSpPr/>
      </dsp:nvSpPr>
      <dsp:spPr>
        <a:xfrm>
          <a:off x="2839906" y="1827763"/>
          <a:ext cx="2362607" cy="79441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DIVERSITY, EQUITY, INCLUSION, ACCESSIBILITY (DEIA)</a:t>
          </a:r>
        </a:p>
        <a:p>
          <a:pPr marL="0" lvl="0" indent="0" algn="ctr" defTabSz="355600">
            <a:lnSpc>
              <a:spcPct val="90000"/>
            </a:lnSpc>
            <a:spcBef>
              <a:spcPct val="0"/>
            </a:spcBef>
            <a:spcAft>
              <a:spcPct val="35000"/>
            </a:spcAft>
            <a:buNone/>
          </a:pPr>
          <a:r>
            <a:rPr lang="en-US" sz="800" b="1" kern="1200"/>
            <a:t>Institutional Commitment</a:t>
          </a:r>
          <a:br>
            <a:rPr lang="en-US" sz="800" b="1" kern="1200"/>
          </a:br>
          <a:r>
            <a:rPr lang="en-US" sz="800" b="1" kern="1200"/>
            <a:t>Call to Action</a:t>
          </a:r>
          <a:endParaRPr lang="en-US" sz="800" kern="1200"/>
        </a:p>
      </dsp:txBody>
      <dsp:txXfrm>
        <a:off x="2878686" y="1866543"/>
        <a:ext cx="2285047" cy="716858"/>
      </dsp:txXfrm>
    </dsp:sp>
    <dsp:sp modelId="{A192CC50-4782-EE49-BFAE-CF8AA838BA3A}">
      <dsp:nvSpPr>
        <dsp:cNvPr id="0" name=""/>
        <dsp:cNvSpPr/>
      </dsp:nvSpPr>
      <dsp:spPr>
        <a:xfrm>
          <a:off x="1198283" y="31353"/>
          <a:ext cx="2837180" cy="2837180"/>
        </a:xfrm>
        <a:custGeom>
          <a:avLst/>
          <a:gdLst/>
          <a:ahLst/>
          <a:cxnLst/>
          <a:rect l="0" t="0" r="0" b="0"/>
          <a:pathLst>
            <a:path>
              <a:moveTo>
                <a:pt x="2217085" y="2591110"/>
              </a:moveTo>
              <a:arcTo wR="1418590" hR="1418590" stAng="3344691" swAng="118457"/>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4753713-39C2-CF40-B267-B99CF68A4DC2}">
      <dsp:nvSpPr>
        <dsp:cNvPr id="0" name=""/>
        <dsp:cNvSpPr/>
      </dsp:nvSpPr>
      <dsp:spPr>
        <a:xfrm>
          <a:off x="1412763" y="2649542"/>
          <a:ext cx="2755323" cy="76584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COMMUNITY ENGAGEMENT AND PARTNERSHIPS</a:t>
          </a:r>
        </a:p>
        <a:p>
          <a:pPr marL="0" lvl="0" indent="0" algn="ctr" defTabSz="355600">
            <a:lnSpc>
              <a:spcPct val="90000"/>
            </a:lnSpc>
            <a:spcBef>
              <a:spcPct val="0"/>
            </a:spcBef>
            <a:spcAft>
              <a:spcPct val="35000"/>
            </a:spcAft>
            <a:buNone/>
          </a:pPr>
          <a:r>
            <a:rPr lang="en-US" sz="800" b="1" kern="1200"/>
            <a:t>Community Engagement</a:t>
          </a:r>
          <a:br>
            <a:rPr lang="en-US" sz="800" b="1" kern="1200"/>
          </a:br>
          <a:r>
            <a:rPr lang="en-US" sz="800" b="1" kern="1200"/>
            <a:t>Educational Partnerships</a:t>
          </a:r>
        </a:p>
        <a:p>
          <a:pPr marL="0" lvl="0" indent="0" algn="ctr" defTabSz="355600">
            <a:lnSpc>
              <a:spcPct val="90000"/>
            </a:lnSpc>
            <a:spcBef>
              <a:spcPct val="0"/>
            </a:spcBef>
            <a:spcAft>
              <a:spcPct val="35000"/>
            </a:spcAft>
            <a:buNone/>
          </a:pPr>
          <a:endParaRPr lang="en-US" sz="800" kern="1200"/>
        </a:p>
      </dsp:txBody>
      <dsp:txXfrm>
        <a:off x="1450148" y="2686927"/>
        <a:ext cx="2680553" cy="691073"/>
      </dsp:txXfrm>
    </dsp:sp>
    <dsp:sp modelId="{5BE7E79E-B36D-134B-A0E8-9E4E5C9FC8E6}">
      <dsp:nvSpPr>
        <dsp:cNvPr id="0" name=""/>
        <dsp:cNvSpPr/>
      </dsp:nvSpPr>
      <dsp:spPr>
        <a:xfrm>
          <a:off x="1575469" y="37251"/>
          <a:ext cx="2837180" cy="2837180"/>
        </a:xfrm>
        <a:custGeom>
          <a:avLst/>
          <a:gdLst/>
          <a:ahLst/>
          <a:cxnLst/>
          <a:rect l="0" t="0" r="0" b="0"/>
          <a:pathLst>
            <a:path>
              <a:moveTo>
                <a:pt x="651485" y="2611883"/>
              </a:moveTo>
              <a:arcTo wR="1418590" hR="1418590" stAng="7364089" swAng="179327"/>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BD4D6D4-FC9B-894D-97C8-CDF84B5C2DC2}">
      <dsp:nvSpPr>
        <dsp:cNvPr id="0" name=""/>
        <dsp:cNvSpPr/>
      </dsp:nvSpPr>
      <dsp:spPr>
        <a:xfrm>
          <a:off x="414852" y="1827761"/>
          <a:ext cx="2355163" cy="77931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ORGANIZATIONAL CULTURE AND COMMUNICATION</a:t>
          </a:r>
        </a:p>
        <a:p>
          <a:pPr marL="0" lvl="0" indent="0" algn="ctr" defTabSz="355600">
            <a:lnSpc>
              <a:spcPct val="90000"/>
            </a:lnSpc>
            <a:spcBef>
              <a:spcPct val="0"/>
            </a:spcBef>
            <a:spcAft>
              <a:spcPct val="35000"/>
            </a:spcAft>
            <a:buNone/>
          </a:pPr>
          <a:r>
            <a:rPr lang="en-US" sz="800" b="1" kern="1200"/>
            <a:t>Organizational Culture</a:t>
          </a:r>
          <a:br>
            <a:rPr lang="en-US" sz="800" b="1" kern="1200"/>
          </a:br>
          <a:r>
            <a:rPr lang="en-US" sz="800" b="1" kern="1200"/>
            <a:t>Communication and Marketing</a:t>
          </a:r>
        </a:p>
      </dsp:txBody>
      <dsp:txXfrm>
        <a:off x="452895" y="1865804"/>
        <a:ext cx="2279077" cy="703225"/>
      </dsp:txXfrm>
    </dsp:sp>
    <dsp:sp modelId="{77CB9F98-A1EB-1B4A-BE07-72B812490020}">
      <dsp:nvSpPr>
        <dsp:cNvPr id="0" name=""/>
        <dsp:cNvSpPr/>
      </dsp:nvSpPr>
      <dsp:spPr>
        <a:xfrm>
          <a:off x="625535" y="-904856"/>
          <a:ext cx="2837180" cy="2837180"/>
        </a:xfrm>
        <a:custGeom>
          <a:avLst/>
          <a:gdLst/>
          <a:ahLst/>
          <a:cxnLst/>
          <a:rect l="0" t="0" r="0" b="0"/>
          <a:pathLst>
            <a:path>
              <a:moveTo>
                <a:pt x="883029" y="2732200"/>
              </a:moveTo>
              <a:arcTo wR="1418590" hR="1418590" stAng="6730847" swAng="262692"/>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91375B8-514C-F642-B3B4-3DF88B67E302}">
      <dsp:nvSpPr>
        <dsp:cNvPr id="0" name=""/>
        <dsp:cNvSpPr/>
      </dsp:nvSpPr>
      <dsp:spPr>
        <a:xfrm>
          <a:off x="178914" y="865385"/>
          <a:ext cx="2598231" cy="91674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INSTITUTIONAL EFFECTIVENESS, INFRASTRUCTURE, AND RESOURCE MANAGEMENT</a:t>
          </a:r>
        </a:p>
        <a:p>
          <a:pPr marL="0" lvl="0" indent="0" algn="ctr" defTabSz="355600">
            <a:lnSpc>
              <a:spcPct val="90000"/>
            </a:lnSpc>
            <a:spcBef>
              <a:spcPct val="0"/>
            </a:spcBef>
            <a:spcAft>
              <a:spcPct val="35000"/>
            </a:spcAft>
            <a:buNone/>
          </a:pPr>
          <a:r>
            <a:rPr lang="en-US" sz="800" b="1" kern="1200"/>
            <a:t>Institutional Effectiveness</a:t>
          </a:r>
          <a:br>
            <a:rPr lang="en-US" sz="800" b="1" kern="1200"/>
          </a:br>
          <a:r>
            <a:rPr lang="en-US" sz="800" b="1" kern="1200"/>
            <a:t>Capital Resources</a:t>
          </a:r>
          <a:br>
            <a:rPr lang="en-US" sz="800" b="1" kern="1200"/>
          </a:br>
          <a:r>
            <a:rPr lang="en-US" sz="800" b="1" kern="1200"/>
            <a:t>Fiscal Resources</a:t>
          </a:r>
        </a:p>
        <a:p>
          <a:pPr marL="0" lvl="0" indent="0" algn="ctr" defTabSz="355600">
            <a:lnSpc>
              <a:spcPct val="90000"/>
            </a:lnSpc>
            <a:spcBef>
              <a:spcPct val="0"/>
            </a:spcBef>
            <a:spcAft>
              <a:spcPct val="35000"/>
            </a:spcAft>
            <a:buNone/>
          </a:pPr>
          <a:endParaRPr lang="en-US" sz="800" kern="1200"/>
        </a:p>
      </dsp:txBody>
      <dsp:txXfrm>
        <a:off x="223666" y="910137"/>
        <a:ext cx="2508727" cy="827241"/>
      </dsp:txXfrm>
    </dsp:sp>
    <dsp:sp modelId="{BC0D6A22-A148-6149-9FF0-6E436663A074}">
      <dsp:nvSpPr>
        <dsp:cNvPr id="0" name=""/>
        <dsp:cNvSpPr/>
      </dsp:nvSpPr>
      <dsp:spPr>
        <a:xfrm>
          <a:off x="1568539" y="547686"/>
          <a:ext cx="2837180" cy="2837180"/>
        </a:xfrm>
        <a:custGeom>
          <a:avLst/>
          <a:gdLst/>
          <a:ahLst/>
          <a:cxnLst/>
          <a:rect l="0" t="0" r="0" b="0"/>
          <a:pathLst>
            <a:path>
              <a:moveTo>
                <a:pt x="524831" y="316958"/>
              </a:moveTo>
              <a:arcTo wR="1418590" hR="1418590" stAng="13856846" swAng="279482"/>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9525" cmpd="sng">
          <a:noFill/>
        </a:ln>
      </a:spPr>
      <a:bodyPr vertOverflow="clip" horzOverflow="clip" wrap="square" tIns="0" bIns="182880" rtlCol="0" anchor="t">
        <a:spAutoFit/>
      </a:bodyPr>
      <a:lstStyle/>
      <a:style>
        <a:lnRef idx="0">
          <a:scrgbClr r="0" g="0" b="0"/>
        </a:lnRef>
        <a:fillRef idx="0">
          <a:scrgbClr r="0" g="0" b="0"/>
        </a:fillRef>
        <a:effectRef idx="0">
          <a:scrgbClr r="0" g="0" b="0"/>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6BCC7-50F6-0141-B33A-AB7CC2275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86</Pages>
  <Words>17617</Words>
  <Characters>105137</Characters>
  <Application>Microsoft Office Word</Application>
  <DocSecurity>0</DocSecurity>
  <Lines>2564</Lines>
  <Paragraphs>1296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Griffith</dc:creator>
  <cp:keywords/>
  <dc:description/>
  <cp:lastModifiedBy>Brandy Young</cp:lastModifiedBy>
  <cp:revision>28</cp:revision>
  <cp:lastPrinted>2025-04-07T21:24:00Z</cp:lastPrinted>
  <dcterms:created xsi:type="dcterms:W3CDTF">2025-04-07T15:54:00Z</dcterms:created>
  <dcterms:modified xsi:type="dcterms:W3CDTF">2025-04-22T17:11:00Z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69c328310a7e68449ae69b224c481097021b6581a0e5ea42f822cbe01ea077e4</vt:lpwstr>
  </property>
</Properties>
</file>